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984" w:rsidRDefault="00D74984" w:rsidP="00A95B1C">
      <w:pPr>
        <w:jc w:val="right"/>
      </w:pPr>
    </w:p>
    <w:p w:rsidR="00D74984" w:rsidRDefault="00D74984" w:rsidP="00A95B1C">
      <w:pPr>
        <w:jc w:val="right"/>
      </w:pPr>
    </w:p>
    <w:p w:rsidR="00D74984" w:rsidRDefault="00D74984" w:rsidP="00D74984">
      <w:pPr>
        <w:jc w:val="right"/>
      </w:pPr>
    </w:p>
    <w:p w:rsidR="00D74984" w:rsidRDefault="00D74984" w:rsidP="00D74984">
      <w:pPr>
        <w:jc w:val="right"/>
      </w:pPr>
    </w:p>
    <w:p w:rsidR="00D74984" w:rsidRDefault="00D74984" w:rsidP="00D74984">
      <w:pPr>
        <w:jc w:val="right"/>
      </w:pPr>
    </w:p>
    <w:p w:rsidR="00D74984" w:rsidRDefault="00D74984" w:rsidP="00D74984">
      <w:pPr>
        <w:jc w:val="right"/>
      </w:pPr>
    </w:p>
    <w:p w:rsidR="00D74984" w:rsidRDefault="00D74984" w:rsidP="00D74984">
      <w:pPr>
        <w:jc w:val="right"/>
      </w:pPr>
    </w:p>
    <w:p w:rsidR="00D74984" w:rsidRDefault="00D74984" w:rsidP="00D74984">
      <w:pPr>
        <w:jc w:val="right"/>
      </w:pPr>
    </w:p>
    <w:p w:rsidR="00D74984" w:rsidRDefault="00D74984" w:rsidP="00D74984">
      <w:pPr>
        <w:jc w:val="right"/>
      </w:pPr>
    </w:p>
    <w:p w:rsidR="00D74984" w:rsidRDefault="00D74984" w:rsidP="00D74984">
      <w:pPr>
        <w:jc w:val="right"/>
      </w:pPr>
    </w:p>
    <w:p w:rsidR="00D74984" w:rsidRDefault="00D74984" w:rsidP="00D74984">
      <w:pPr>
        <w:jc w:val="right"/>
      </w:pPr>
    </w:p>
    <w:p w:rsidR="00D74984" w:rsidRDefault="00D74984" w:rsidP="00D74984">
      <w:pPr>
        <w:jc w:val="right"/>
      </w:pPr>
    </w:p>
    <w:p w:rsidR="00D74984" w:rsidRDefault="00D74984" w:rsidP="00D74984">
      <w:pPr>
        <w:jc w:val="right"/>
      </w:pPr>
    </w:p>
    <w:p w:rsidR="00D74984" w:rsidRDefault="00D74984" w:rsidP="00D74984">
      <w:pPr>
        <w:jc w:val="right"/>
      </w:pPr>
    </w:p>
    <w:p w:rsidR="0060635C" w:rsidRDefault="0060635C" w:rsidP="00D74984">
      <w:pPr>
        <w:jc w:val="right"/>
      </w:pPr>
    </w:p>
    <w:p w:rsidR="00D74984" w:rsidRDefault="00D74984" w:rsidP="00A95B1C">
      <w:pPr>
        <w:jc w:val="right"/>
      </w:pPr>
    </w:p>
    <w:p w:rsidR="00D74984" w:rsidRDefault="00D74984" w:rsidP="00A95B1C">
      <w:pPr>
        <w:jc w:val="right"/>
      </w:pPr>
    </w:p>
    <w:p w:rsidR="00D74984" w:rsidRDefault="00D74984" w:rsidP="00A95B1C">
      <w:pPr>
        <w:jc w:val="right"/>
      </w:pPr>
    </w:p>
    <w:p w:rsidR="00D74984" w:rsidRDefault="00D74984" w:rsidP="00A95B1C">
      <w:pPr>
        <w:jc w:val="right"/>
      </w:pPr>
    </w:p>
    <w:p w:rsidR="000E1BC1" w:rsidRDefault="009649BF" w:rsidP="000E1BC1">
      <w:r>
        <w:t xml:space="preserve">Muster: </w:t>
      </w:r>
      <w:r w:rsidR="008B5F0C" w:rsidRPr="008B5F0C">
        <w:t>Richtlinie zur Risikoanalyse</w:t>
      </w:r>
    </w:p>
    <w:p w:rsidR="000E1BC1" w:rsidRDefault="000E1BC1" w:rsidP="000E1BC1"/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632"/>
        <w:gridCol w:w="1030"/>
      </w:tblGrid>
      <w:tr w:rsidR="000E1BC1" w:rsidTr="00157985">
        <w:trPr>
          <w:jc w:val="right"/>
        </w:trPr>
        <w:tc>
          <w:tcPr>
            <w:tcW w:w="0" w:type="auto"/>
          </w:tcPr>
          <w:p w:rsidR="000E1BC1" w:rsidRDefault="000E1BC1" w:rsidP="00157985">
            <w:pPr>
              <w:jc w:val="right"/>
            </w:pPr>
            <w:r>
              <w:t>Version:</w:t>
            </w:r>
          </w:p>
        </w:tc>
        <w:tc>
          <w:tcPr>
            <w:tcW w:w="0" w:type="auto"/>
          </w:tcPr>
          <w:p w:rsidR="000E1BC1" w:rsidRDefault="009649BF" w:rsidP="009649BF">
            <w:r>
              <w:t>0</w:t>
            </w:r>
            <w:r w:rsidR="009B531D">
              <w:t>.</w:t>
            </w:r>
            <w:r>
              <w:t>1</w:t>
            </w:r>
          </w:p>
        </w:tc>
      </w:tr>
      <w:tr w:rsidR="000E1BC1" w:rsidTr="00157985">
        <w:trPr>
          <w:jc w:val="right"/>
        </w:trPr>
        <w:tc>
          <w:tcPr>
            <w:tcW w:w="0" w:type="auto"/>
          </w:tcPr>
          <w:p w:rsidR="000E1BC1" w:rsidRDefault="000E1BC1" w:rsidP="00157985">
            <w:pPr>
              <w:jc w:val="right"/>
            </w:pPr>
            <w:r>
              <w:t>Status:</w:t>
            </w:r>
            <w:r>
              <w:tab/>
            </w:r>
          </w:p>
        </w:tc>
        <w:tc>
          <w:tcPr>
            <w:tcW w:w="0" w:type="auto"/>
          </w:tcPr>
          <w:p w:rsidR="000E1BC1" w:rsidRDefault="00D842FC" w:rsidP="00157985">
            <w:r>
              <w:t>Entwurf</w:t>
            </w:r>
          </w:p>
        </w:tc>
      </w:tr>
    </w:tbl>
    <w:p w:rsidR="000E1BC1" w:rsidRDefault="000E1BC1" w:rsidP="000E1BC1"/>
    <w:p w:rsidR="000E1BC1" w:rsidRDefault="000E1BC1" w:rsidP="000E1BC1"/>
    <w:p w:rsidR="00F80680" w:rsidRDefault="00F80680" w:rsidP="000E1BC1">
      <w:pPr>
        <w:pStyle w:val="berschriftohneNummerierung"/>
      </w:pPr>
      <w:r>
        <w:br w:type="page"/>
      </w:r>
    </w:p>
    <w:p w:rsidR="000E1BC1" w:rsidRDefault="000E1BC1" w:rsidP="000E1BC1">
      <w:pPr>
        <w:pStyle w:val="berschriftohneNummerierung"/>
      </w:pPr>
      <w:r w:rsidRPr="00EF148F">
        <w:lastRenderedPageBreak/>
        <w:t>Dokumenteninformationen</w:t>
      </w:r>
    </w:p>
    <w:tbl>
      <w:tblPr>
        <w:tblW w:w="4945" w:type="pct"/>
        <w:tblLayout w:type="fixed"/>
        <w:tblLook w:val="01E0" w:firstRow="1" w:lastRow="1" w:firstColumn="1" w:lastColumn="1" w:noHBand="0" w:noVBand="0"/>
      </w:tblPr>
      <w:tblGrid>
        <w:gridCol w:w="3178"/>
        <w:gridCol w:w="6355"/>
      </w:tblGrid>
      <w:tr w:rsidR="000E1BC1" w:rsidTr="008A76F9">
        <w:tc>
          <w:tcPr>
            <w:tcW w:w="9747" w:type="dxa"/>
            <w:gridSpan w:val="2"/>
          </w:tcPr>
          <w:p w:rsidR="000E1BC1" w:rsidRPr="00E40BE1" w:rsidRDefault="009649BF" w:rsidP="00157985">
            <w:pPr>
              <w:pStyle w:val="Tabelle"/>
              <w:rPr>
                <w:b/>
              </w:rPr>
            </w:pPr>
            <w:r>
              <w:rPr>
                <w:b/>
              </w:rPr>
              <w:t xml:space="preserve">Muster: </w:t>
            </w:r>
            <w:r w:rsidR="008B5F0C" w:rsidRPr="008B5F0C">
              <w:rPr>
                <w:b/>
              </w:rPr>
              <w:t>Richtlinie zur Risikoanalyse</w:t>
            </w:r>
          </w:p>
        </w:tc>
      </w:tr>
      <w:tr w:rsidR="000E1BC1" w:rsidTr="008A76F9">
        <w:tc>
          <w:tcPr>
            <w:tcW w:w="9747" w:type="dxa"/>
            <w:gridSpan w:val="2"/>
          </w:tcPr>
          <w:p w:rsidR="000E1BC1" w:rsidRPr="00526372" w:rsidRDefault="00D842FC" w:rsidP="00157985">
            <w:pPr>
              <w:pStyle w:val="Tabelle"/>
            </w:pPr>
            <w:r>
              <w:t>###NAME DER ANWENDENDEN ORGANISATION###</w:t>
            </w:r>
          </w:p>
        </w:tc>
      </w:tr>
      <w:tr w:rsidR="000E1BC1" w:rsidTr="008A76F9">
        <w:tc>
          <w:tcPr>
            <w:tcW w:w="3247" w:type="dxa"/>
          </w:tcPr>
          <w:p w:rsidR="000E1BC1" w:rsidRPr="00526372" w:rsidRDefault="000E1BC1" w:rsidP="00157985">
            <w:pPr>
              <w:pStyle w:val="Tabelle"/>
            </w:pPr>
            <w:r w:rsidRPr="00526372">
              <w:t>Version</w:t>
            </w:r>
          </w:p>
        </w:tc>
        <w:tc>
          <w:tcPr>
            <w:tcW w:w="6500" w:type="dxa"/>
          </w:tcPr>
          <w:p w:rsidR="000E1BC1" w:rsidRPr="00526372" w:rsidRDefault="009649BF" w:rsidP="009649BF">
            <w:pPr>
              <w:pStyle w:val="Tabelle"/>
            </w:pPr>
            <w:r>
              <w:t>0</w:t>
            </w:r>
            <w:r w:rsidR="009B531D">
              <w:t>.</w:t>
            </w:r>
            <w:r>
              <w:t>1</w:t>
            </w:r>
          </w:p>
        </w:tc>
      </w:tr>
      <w:tr w:rsidR="000E1BC1" w:rsidTr="008A76F9">
        <w:tc>
          <w:tcPr>
            <w:tcW w:w="3247" w:type="dxa"/>
          </w:tcPr>
          <w:p w:rsidR="000E1BC1" w:rsidRPr="00526372" w:rsidRDefault="000E1BC1" w:rsidP="00157985">
            <w:pPr>
              <w:pStyle w:val="Tabelle"/>
            </w:pPr>
            <w:r w:rsidRPr="00526372">
              <w:t>Status</w:t>
            </w:r>
          </w:p>
        </w:tc>
        <w:tc>
          <w:tcPr>
            <w:tcW w:w="6500" w:type="dxa"/>
          </w:tcPr>
          <w:p w:rsidR="000E1BC1" w:rsidRPr="00526372" w:rsidRDefault="00605000" w:rsidP="00157985">
            <w:pPr>
              <w:pStyle w:val="Tabelle"/>
            </w:pPr>
            <w:r>
              <w:t>Entwurf</w:t>
            </w:r>
          </w:p>
        </w:tc>
      </w:tr>
      <w:tr w:rsidR="000E1BC1" w:rsidTr="008A76F9">
        <w:tc>
          <w:tcPr>
            <w:tcW w:w="3247" w:type="dxa"/>
          </w:tcPr>
          <w:p w:rsidR="000E1BC1" w:rsidRPr="00526372" w:rsidRDefault="000E1BC1" w:rsidP="00157985">
            <w:pPr>
              <w:pStyle w:val="Tabelle"/>
            </w:pPr>
            <w:r w:rsidRPr="00526372">
              <w:t>Datum der letzten Änderung</w:t>
            </w:r>
          </w:p>
        </w:tc>
        <w:tc>
          <w:tcPr>
            <w:tcW w:w="6500" w:type="dxa"/>
          </w:tcPr>
          <w:p w:rsidR="000E1BC1" w:rsidRPr="00526372" w:rsidRDefault="000E1BC1" w:rsidP="00786879">
            <w:pPr>
              <w:pStyle w:val="Tabelle"/>
            </w:pPr>
          </w:p>
        </w:tc>
      </w:tr>
      <w:tr w:rsidR="000E1BC1" w:rsidTr="008A76F9">
        <w:tc>
          <w:tcPr>
            <w:tcW w:w="3247" w:type="dxa"/>
          </w:tcPr>
          <w:p w:rsidR="000E1BC1" w:rsidRPr="00526372" w:rsidRDefault="007E50AD" w:rsidP="00605000">
            <w:pPr>
              <w:pStyle w:val="Tabelle"/>
            </w:pPr>
            <w:r>
              <w:t>Verantwortung</w:t>
            </w:r>
          </w:p>
        </w:tc>
        <w:tc>
          <w:tcPr>
            <w:tcW w:w="6500" w:type="dxa"/>
          </w:tcPr>
          <w:p w:rsidR="000E1BC1" w:rsidRPr="00526372" w:rsidRDefault="000E1BC1" w:rsidP="00157985">
            <w:pPr>
              <w:pStyle w:val="Tabelle"/>
            </w:pPr>
          </w:p>
        </w:tc>
      </w:tr>
      <w:tr w:rsidR="00D1144E" w:rsidTr="008A76F9">
        <w:tc>
          <w:tcPr>
            <w:tcW w:w="3247" w:type="dxa"/>
          </w:tcPr>
          <w:p w:rsidR="00D1144E" w:rsidRDefault="00D1144E" w:rsidP="00605000">
            <w:pPr>
              <w:pStyle w:val="Tabelle"/>
            </w:pPr>
            <w:r>
              <w:t>Klassifizierung</w:t>
            </w:r>
          </w:p>
        </w:tc>
        <w:tc>
          <w:tcPr>
            <w:tcW w:w="6500" w:type="dxa"/>
          </w:tcPr>
          <w:p w:rsidR="00D1144E" w:rsidRDefault="00D1144E" w:rsidP="00157985">
            <w:pPr>
              <w:pStyle w:val="Tabelle"/>
            </w:pPr>
            <w:r>
              <w:t>S2 intern</w:t>
            </w:r>
          </w:p>
        </w:tc>
      </w:tr>
      <w:tr w:rsidR="00D1144E" w:rsidTr="008A76F9">
        <w:tc>
          <w:tcPr>
            <w:tcW w:w="3247" w:type="dxa"/>
          </w:tcPr>
          <w:p w:rsidR="00D1144E" w:rsidRDefault="007037E0" w:rsidP="00605000">
            <w:pPr>
              <w:pStyle w:val="Tabelle"/>
            </w:pPr>
            <w:r w:rsidRPr="007037E0">
              <w:t>Gültigkeitszeit</w:t>
            </w:r>
          </w:p>
        </w:tc>
        <w:tc>
          <w:tcPr>
            <w:tcW w:w="6500" w:type="dxa"/>
          </w:tcPr>
          <w:p w:rsidR="00D1144E" w:rsidRDefault="007037E0" w:rsidP="00157985">
            <w:pPr>
              <w:pStyle w:val="Tabelle"/>
            </w:pPr>
            <w:r>
              <w:t>unbegrenzt</w:t>
            </w:r>
          </w:p>
        </w:tc>
      </w:tr>
      <w:tr w:rsidR="007037E0" w:rsidTr="008A76F9">
        <w:tc>
          <w:tcPr>
            <w:tcW w:w="3247" w:type="dxa"/>
          </w:tcPr>
          <w:p w:rsidR="007037E0" w:rsidRPr="007037E0" w:rsidRDefault="007037E0" w:rsidP="00605000">
            <w:pPr>
              <w:pStyle w:val="Tabelle"/>
            </w:pPr>
            <w:r w:rsidRPr="007037E0">
              <w:t>Überarbeitungsintervall</w:t>
            </w:r>
          </w:p>
        </w:tc>
        <w:tc>
          <w:tcPr>
            <w:tcW w:w="6500" w:type="dxa"/>
          </w:tcPr>
          <w:p w:rsidR="007037E0" w:rsidRDefault="007037E0" w:rsidP="00157985">
            <w:pPr>
              <w:pStyle w:val="Tabelle"/>
            </w:pPr>
            <w:r>
              <w:t>jährlich</w:t>
            </w:r>
          </w:p>
        </w:tc>
      </w:tr>
      <w:tr w:rsidR="007037E0" w:rsidTr="008A76F9">
        <w:tc>
          <w:tcPr>
            <w:tcW w:w="3247" w:type="dxa"/>
          </w:tcPr>
          <w:p w:rsidR="007037E0" w:rsidRPr="007037E0" w:rsidRDefault="007037E0" w:rsidP="00605000">
            <w:pPr>
              <w:pStyle w:val="Tabelle"/>
            </w:pPr>
            <w:r w:rsidRPr="007037E0">
              <w:t>Nächste Überarbeitung</w:t>
            </w:r>
          </w:p>
        </w:tc>
        <w:tc>
          <w:tcPr>
            <w:tcW w:w="6500" w:type="dxa"/>
          </w:tcPr>
          <w:p w:rsidR="007037E0" w:rsidRDefault="007037E0" w:rsidP="00157985">
            <w:pPr>
              <w:pStyle w:val="Tabelle"/>
            </w:pPr>
          </w:p>
        </w:tc>
      </w:tr>
      <w:tr w:rsidR="007037E0" w:rsidTr="008A76F9">
        <w:tc>
          <w:tcPr>
            <w:tcW w:w="3247" w:type="dxa"/>
          </w:tcPr>
          <w:p w:rsidR="007037E0" w:rsidRPr="007037E0" w:rsidRDefault="007037E0" w:rsidP="00605000">
            <w:pPr>
              <w:pStyle w:val="Tabelle"/>
            </w:pPr>
            <w:r w:rsidRPr="007037E0">
              <w:t>Dateiname</w:t>
            </w:r>
          </w:p>
        </w:tc>
        <w:tc>
          <w:tcPr>
            <w:tcW w:w="6500" w:type="dxa"/>
          </w:tcPr>
          <w:p w:rsidR="007037E0" w:rsidRDefault="00C06506" w:rsidP="008B5F0C">
            <w:pPr>
              <w:pStyle w:val="Tabelle"/>
            </w:pPr>
            <w:r>
              <w:t>A.0.</w:t>
            </w:r>
            <w:r w:rsidR="008B5F0C">
              <w:t>2</w:t>
            </w:r>
            <w:r>
              <w:t xml:space="preserve"> </w:t>
            </w:r>
            <w:r w:rsidR="008B5F0C" w:rsidRPr="008B5F0C">
              <w:t>Richtlinie zur Risikoanalyse</w:t>
            </w:r>
            <w:r w:rsidR="000F3F60">
              <w:t xml:space="preserve"> </w:t>
            </w:r>
            <w:r w:rsidR="007037E0">
              <w:t>v[Version].[Dateiendung]</w:t>
            </w:r>
          </w:p>
        </w:tc>
      </w:tr>
      <w:tr w:rsidR="00A73E1D" w:rsidTr="008A76F9">
        <w:tc>
          <w:tcPr>
            <w:tcW w:w="3247" w:type="dxa"/>
          </w:tcPr>
          <w:p w:rsidR="00A73E1D" w:rsidRPr="007037E0" w:rsidRDefault="00135D20" w:rsidP="00605000">
            <w:pPr>
              <w:pStyle w:val="Tabelle"/>
            </w:pPr>
            <w:r>
              <w:t>Ablage</w:t>
            </w:r>
            <w:r w:rsidR="00A73E1D">
              <w:t>ort</w:t>
            </w:r>
          </w:p>
        </w:tc>
        <w:tc>
          <w:tcPr>
            <w:tcW w:w="6500" w:type="dxa"/>
          </w:tcPr>
          <w:p w:rsidR="00A73E1D" w:rsidRPr="007037E0" w:rsidRDefault="00A73E1D" w:rsidP="00157985">
            <w:pPr>
              <w:pStyle w:val="Tabelle"/>
            </w:pPr>
          </w:p>
        </w:tc>
      </w:tr>
    </w:tbl>
    <w:p w:rsidR="000E1BC1" w:rsidRPr="0009099B" w:rsidRDefault="000E1BC1" w:rsidP="000E1BC1">
      <w:pPr>
        <w:pStyle w:val="berschriftohneNummerierung"/>
      </w:pPr>
      <w:r>
        <w:br/>
        <w:t>Ä</w:t>
      </w:r>
      <w:r w:rsidRPr="0009099B">
        <w:t>nderungsübersich</w:t>
      </w:r>
      <w:r>
        <w:t>t</w:t>
      </w:r>
    </w:p>
    <w:tbl>
      <w:tblPr>
        <w:tblW w:w="4945" w:type="pct"/>
        <w:tblLayout w:type="fixed"/>
        <w:tblLook w:val="01E0" w:firstRow="1" w:lastRow="1" w:firstColumn="1" w:lastColumn="1" w:noHBand="0" w:noVBand="0"/>
      </w:tblPr>
      <w:tblGrid>
        <w:gridCol w:w="803"/>
        <w:gridCol w:w="1465"/>
        <w:gridCol w:w="1035"/>
        <w:gridCol w:w="3942"/>
        <w:gridCol w:w="2288"/>
      </w:tblGrid>
      <w:tr w:rsidR="000E1BC1" w:rsidRPr="00795917" w:rsidTr="00786879">
        <w:trPr>
          <w:trHeight w:val="513"/>
        </w:trPr>
        <w:tc>
          <w:tcPr>
            <w:tcW w:w="803" w:type="dxa"/>
            <w:shd w:val="clear" w:color="auto" w:fill="CCCCCC"/>
          </w:tcPr>
          <w:p w:rsidR="000E1BC1" w:rsidRPr="00795917" w:rsidRDefault="000E1BC1" w:rsidP="00157985">
            <w:pPr>
              <w:pStyle w:val="Tabelle"/>
              <w:keepNext w:val="0"/>
              <w:rPr>
                <w:b/>
              </w:rPr>
            </w:pPr>
            <w:bookmarkStart w:id="0" w:name="_Hlk113355739"/>
            <w:r w:rsidRPr="00795917">
              <w:rPr>
                <w:b/>
              </w:rPr>
              <w:t>Lfd. Nr.</w:t>
            </w:r>
          </w:p>
        </w:tc>
        <w:tc>
          <w:tcPr>
            <w:tcW w:w="1465" w:type="dxa"/>
            <w:shd w:val="clear" w:color="auto" w:fill="CCCCCC"/>
          </w:tcPr>
          <w:p w:rsidR="000E1BC1" w:rsidRPr="00795917" w:rsidRDefault="000E1BC1" w:rsidP="00157985">
            <w:pPr>
              <w:pStyle w:val="Tabelle"/>
              <w:keepNext w:val="0"/>
              <w:rPr>
                <w:b/>
              </w:rPr>
            </w:pPr>
            <w:r w:rsidRPr="00795917">
              <w:rPr>
                <w:b/>
              </w:rPr>
              <w:t>Datum</w:t>
            </w:r>
          </w:p>
        </w:tc>
        <w:tc>
          <w:tcPr>
            <w:tcW w:w="1035" w:type="dxa"/>
            <w:shd w:val="clear" w:color="auto" w:fill="CCCCCC"/>
          </w:tcPr>
          <w:p w:rsidR="000E1BC1" w:rsidRPr="00795917" w:rsidRDefault="000E1BC1" w:rsidP="00157985">
            <w:pPr>
              <w:pStyle w:val="Tabelle"/>
              <w:keepNext w:val="0"/>
              <w:rPr>
                <w:b/>
              </w:rPr>
            </w:pPr>
            <w:r w:rsidRPr="00795917">
              <w:rPr>
                <w:b/>
              </w:rPr>
              <w:t>Version</w:t>
            </w:r>
          </w:p>
        </w:tc>
        <w:tc>
          <w:tcPr>
            <w:tcW w:w="3942" w:type="dxa"/>
            <w:shd w:val="clear" w:color="auto" w:fill="CCCCCC"/>
          </w:tcPr>
          <w:p w:rsidR="000E1BC1" w:rsidRPr="00795917" w:rsidRDefault="008D5D1E" w:rsidP="00157985">
            <w:pPr>
              <w:pStyle w:val="Tabelle"/>
              <w:keepNext w:val="0"/>
              <w:rPr>
                <w:b/>
              </w:rPr>
            </w:pPr>
            <w:r>
              <w:rPr>
                <w:b/>
              </w:rPr>
              <w:t>Änderungen</w:t>
            </w:r>
            <w:r w:rsidR="000E1BC1" w:rsidRPr="00795917">
              <w:rPr>
                <w:b/>
              </w:rPr>
              <w:t xml:space="preserve"> </w:t>
            </w:r>
          </w:p>
        </w:tc>
        <w:tc>
          <w:tcPr>
            <w:tcW w:w="2288" w:type="dxa"/>
            <w:shd w:val="clear" w:color="auto" w:fill="CCCCCC"/>
          </w:tcPr>
          <w:p w:rsidR="000E1BC1" w:rsidRPr="00795917" w:rsidRDefault="000E1BC1" w:rsidP="00157985">
            <w:pPr>
              <w:pStyle w:val="Tabelle"/>
              <w:keepNext w:val="0"/>
              <w:rPr>
                <w:b/>
              </w:rPr>
            </w:pPr>
            <w:r w:rsidRPr="00795917">
              <w:rPr>
                <w:b/>
              </w:rPr>
              <w:t xml:space="preserve">Durchgeführt von </w:t>
            </w:r>
          </w:p>
        </w:tc>
      </w:tr>
      <w:bookmarkEnd w:id="0"/>
      <w:tr w:rsidR="000E1BC1" w:rsidTr="00786879">
        <w:tc>
          <w:tcPr>
            <w:tcW w:w="803" w:type="dxa"/>
          </w:tcPr>
          <w:p w:rsidR="000E1BC1" w:rsidRPr="00526372" w:rsidRDefault="000E1BC1" w:rsidP="00157985">
            <w:pPr>
              <w:pStyle w:val="Tabelle"/>
              <w:keepNext w:val="0"/>
            </w:pPr>
            <w:r>
              <w:t>1</w:t>
            </w:r>
          </w:p>
        </w:tc>
        <w:tc>
          <w:tcPr>
            <w:tcW w:w="1465" w:type="dxa"/>
          </w:tcPr>
          <w:p w:rsidR="000E1BC1" w:rsidRPr="00526372" w:rsidRDefault="000E1BC1" w:rsidP="006F4E3B">
            <w:pPr>
              <w:pStyle w:val="Tabelle"/>
              <w:keepNext w:val="0"/>
            </w:pPr>
          </w:p>
        </w:tc>
        <w:tc>
          <w:tcPr>
            <w:tcW w:w="1035" w:type="dxa"/>
          </w:tcPr>
          <w:p w:rsidR="000E1BC1" w:rsidRPr="00526372" w:rsidRDefault="000E1BC1" w:rsidP="00157985">
            <w:pPr>
              <w:pStyle w:val="Tabelle"/>
              <w:keepNext w:val="0"/>
            </w:pPr>
            <w:r>
              <w:t>0.1</w:t>
            </w:r>
          </w:p>
        </w:tc>
        <w:tc>
          <w:tcPr>
            <w:tcW w:w="3942" w:type="dxa"/>
          </w:tcPr>
          <w:p w:rsidR="000E1BC1" w:rsidRPr="00526372" w:rsidRDefault="000E1BC1" w:rsidP="00157985">
            <w:pPr>
              <w:pStyle w:val="Tabelle"/>
              <w:keepNext w:val="0"/>
            </w:pPr>
            <w:r>
              <w:t>Neuanlage des Dokuments</w:t>
            </w:r>
          </w:p>
        </w:tc>
        <w:tc>
          <w:tcPr>
            <w:tcW w:w="2288" w:type="dxa"/>
          </w:tcPr>
          <w:p w:rsidR="000E1BC1" w:rsidRPr="00526372" w:rsidRDefault="000E1BC1" w:rsidP="00157985">
            <w:pPr>
              <w:pStyle w:val="Tabelle"/>
              <w:keepNext w:val="0"/>
            </w:pPr>
          </w:p>
        </w:tc>
      </w:tr>
      <w:tr w:rsidR="000E1BC1" w:rsidTr="00786879">
        <w:tc>
          <w:tcPr>
            <w:tcW w:w="803" w:type="dxa"/>
          </w:tcPr>
          <w:p w:rsidR="000E1BC1" w:rsidRPr="00526372" w:rsidRDefault="000E1BC1" w:rsidP="00157985">
            <w:pPr>
              <w:pStyle w:val="Tabelle"/>
              <w:keepNext w:val="0"/>
            </w:pPr>
            <w:r>
              <w:t>2</w:t>
            </w:r>
          </w:p>
        </w:tc>
        <w:tc>
          <w:tcPr>
            <w:tcW w:w="1465" w:type="dxa"/>
          </w:tcPr>
          <w:p w:rsidR="000E1BC1" w:rsidRPr="00526372" w:rsidRDefault="000E1BC1" w:rsidP="00157985">
            <w:pPr>
              <w:pStyle w:val="Tabelle"/>
              <w:keepNext w:val="0"/>
            </w:pPr>
          </w:p>
        </w:tc>
        <w:tc>
          <w:tcPr>
            <w:tcW w:w="1035" w:type="dxa"/>
          </w:tcPr>
          <w:p w:rsidR="000E1BC1" w:rsidRPr="00526372" w:rsidRDefault="000E1BC1" w:rsidP="00157985">
            <w:pPr>
              <w:pStyle w:val="Tabelle"/>
              <w:keepNext w:val="0"/>
            </w:pPr>
          </w:p>
        </w:tc>
        <w:tc>
          <w:tcPr>
            <w:tcW w:w="3942" w:type="dxa"/>
          </w:tcPr>
          <w:p w:rsidR="000E1BC1" w:rsidRPr="00526372" w:rsidRDefault="000E1BC1" w:rsidP="00157985">
            <w:pPr>
              <w:pStyle w:val="Tabelle"/>
              <w:keepNext w:val="0"/>
            </w:pPr>
          </w:p>
        </w:tc>
        <w:tc>
          <w:tcPr>
            <w:tcW w:w="2288" w:type="dxa"/>
          </w:tcPr>
          <w:p w:rsidR="009B531D" w:rsidRPr="00526372" w:rsidRDefault="009B531D" w:rsidP="00157985">
            <w:pPr>
              <w:pStyle w:val="Tabelle"/>
              <w:keepNext w:val="0"/>
            </w:pPr>
          </w:p>
        </w:tc>
      </w:tr>
      <w:tr w:rsidR="000E1BC1" w:rsidTr="00786879">
        <w:tc>
          <w:tcPr>
            <w:tcW w:w="803" w:type="dxa"/>
          </w:tcPr>
          <w:p w:rsidR="000E1BC1" w:rsidRDefault="000E1BC1" w:rsidP="00157985">
            <w:pPr>
              <w:pStyle w:val="Tabelle"/>
              <w:keepNext w:val="0"/>
            </w:pPr>
            <w:r>
              <w:t>3</w:t>
            </w:r>
          </w:p>
        </w:tc>
        <w:tc>
          <w:tcPr>
            <w:tcW w:w="1465" w:type="dxa"/>
          </w:tcPr>
          <w:p w:rsidR="000E1BC1" w:rsidRDefault="000E1BC1" w:rsidP="00157985">
            <w:pPr>
              <w:pStyle w:val="Tabelle"/>
              <w:keepNext w:val="0"/>
            </w:pPr>
          </w:p>
        </w:tc>
        <w:tc>
          <w:tcPr>
            <w:tcW w:w="1035" w:type="dxa"/>
          </w:tcPr>
          <w:p w:rsidR="000E1BC1" w:rsidRDefault="000E1BC1" w:rsidP="00157985">
            <w:pPr>
              <w:pStyle w:val="Tabelle"/>
              <w:keepNext w:val="0"/>
            </w:pPr>
          </w:p>
        </w:tc>
        <w:tc>
          <w:tcPr>
            <w:tcW w:w="3942" w:type="dxa"/>
          </w:tcPr>
          <w:p w:rsidR="000E1BC1" w:rsidRDefault="000E1BC1" w:rsidP="00157985">
            <w:pPr>
              <w:pStyle w:val="Tabelle"/>
              <w:keepNext w:val="0"/>
            </w:pPr>
          </w:p>
        </w:tc>
        <w:tc>
          <w:tcPr>
            <w:tcW w:w="2288" w:type="dxa"/>
          </w:tcPr>
          <w:p w:rsidR="009B531D" w:rsidRDefault="009B531D" w:rsidP="00157985">
            <w:pPr>
              <w:pStyle w:val="Tabelle"/>
              <w:keepNext w:val="0"/>
            </w:pPr>
          </w:p>
        </w:tc>
      </w:tr>
      <w:tr w:rsidR="000E1BC1" w:rsidTr="00786879">
        <w:tc>
          <w:tcPr>
            <w:tcW w:w="803" w:type="dxa"/>
          </w:tcPr>
          <w:p w:rsidR="000E1BC1" w:rsidRDefault="000E1BC1" w:rsidP="00157985">
            <w:pPr>
              <w:pStyle w:val="Tabelle"/>
              <w:keepNext w:val="0"/>
            </w:pPr>
            <w:r>
              <w:t>4</w:t>
            </w:r>
          </w:p>
        </w:tc>
        <w:tc>
          <w:tcPr>
            <w:tcW w:w="1465" w:type="dxa"/>
          </w:tcPr>
          <w:p w:rsidR="000E1BC1" w:rsidRPr="00526372" w:rsidRDefault="000E1BC1" w:rsidP="00157985">
            <w:pPr>
              <w:pStyle w:val="Tabelle"/>
              <w:keepNext w:val="0"/>
            </w:pPr>
          </w:p>
        </w:tc>
        <w:tc>
          <w:tcPr>
            <w:tcW w:w="1035" w:type="dxa"/>
          </w:tcPr>
          <w:p w:rsidR="000E1BC1" w:rsidRPr="00526372" w:rsidRDefault="000E1BC1" w:rsidP="00157985">
            <w:pPr>
              <w:pStyle w:val="Tabelle"/>
              <w:keepNext w:val="0"/>
            </w:pPr>
          </w:p>
        </w:tc>
        <w:tc>
          <w:tcPr>
            <w:tcW w:w="3942" w:type="dxa"/>
          </w:tcPr>
          <w:p w:rsidR="000E1BC1" w:rsidRPr="00526372" w:rsidRDefault="000E1BC1" w:rsidP="00157985">
            <w:pPr>
              <w:pStyle w:val="Tabelle"/>
              <w:keepNext w:val="0"/>
            </w:pPr>
          </w:p>
        </w:tc>
        <w:tc>
          <w:tcPr>
            <w:tcW w:w="2288" w:type="dxa"/>
          </w:tcPr>
          <w:p w:rsidR="000E1BC1" w:rsidRPr="00526372" w:rsidRDefault="000E1BC1" w:rsidP="00157985">
            <w:pPr>
              <w:pStyle w:val="Tabelle"/>
              <w:keepNext w:val="0"/>
            </w:pPr>
          </w:p>
        </w:tc>
      </w:tr>
      <w:tr w:rsidR="000E1BC1" w:rsidTr="00786879">
        <w:tc>
          <w:tcPr>
            <w:tcW w:w="803" w:type="dxa"/>
          </w:tcPr>
          <w:p w:rsidR="000E1BC1" w:rsidRDefault="000E1BC1" w:rsidP="00157985">
            <w:pPr>
              <w:pStyle w:val="Tabelle"/>
              <w:keepNext w:val="0"/>
            </w:pPr>
            <w:r>
              <w:t>5</w:t>
            </w:r>
          </w:p>
        </w:tc>
        <w:tc>
          <w:tcPr>
            <w:tcW w:w="1465" w:type="dxa"/>
          </w:tcPr>
          <w:p w:rsidR="000E1BC1" w:rsidRDefault="000E1BC1" w:rsidP="00157985">
            <w:pPr>
              <w:pStyle w:val="Tabelle"/>
              <w:keepNext w:val="0"/>
            </w:pPr>
          </w:p>
        </w:tc>
        <w:tc>
          <w:tcPr>
            <w:tcW w:w="1035" w:type="dxa"/>
          </w:tcPr>
          <w:p w:rsidR="000E1BC1" w:rsidRDefault="000E1BC1" w:rsidP="00157985">
            <w:pPr>
              <w:pStyle w:val="Tabelle"/>
              <w:keepNext w:val="0"/>
            </w:pPr>
          </w:p>
        </w:tc>
        <w:tc>
          <w:tcPr>
            <w:tcW w:w="3942" w:type="dxa"/>
          </w:tcPr>
          <w:p w:rsidR="000E1BC1" w:rsidRDefault="000E1BC1" w:rsidP="00157985">
            <w:pPr>
              <w:pStyle w:val="Tabelle"/>
              <w:keepNext w:val="0"/>
            </w:pPr>
          </w:p>
        </w:tc>
        <w:tc>
          <w:tcPr>
            <w:tcW w:w="2288" w:type="dxa"/>
          </w:tcPr>
          <w:p w:rsidR="000E1BC1" w:rsidRDefault="000E1BC1" w:rsidP="00157985">
            <w:pPr>
              <w:pStyle w:val="Tabelle"/>
              <w:keepNext w:val="0"/>
            </w:pPr>
          </w:p>
        </w:tc>
      </w:tr>
      <w:tr w:rsidR="000E1BC1" w:rsidTr="00786879">
        <w:tc>
          <w:tcPr>
            <w:tcW w:w="803" w:type="dxa"/>
          </w:tcPr>
          <w:p w:rsidR="000E1BC1" w:rsidRDefault="000E1BC1" w:rsidP="00157985">
            <w:pPr>
              <w:pStyle w:val="Tabelle"/>
              <w:keepNext w:val="0"/>
            </w:pPr>
            <w:r>
              <w:t>6</w:t>
            </w:r>
          </w:p>
        </w:tc>
        <w:tc>
          <w:tcPr>
            <w:tcW w:w="1465" w:type="dxa"/>
          </w:tcPr>
          <w:p w:rsidR="000E1BC1" w:rsidRDefault="000E1BC1" w:rsidP="00157985">
            <w:pPr>
              <w:pStyle w:val="Tabelle"/>
              <w:keepNext w:val="0"/>
            </w:pPr>
          </w:p>
        </w:tc>
        <w:tc>
          <w:tcPr>
            <w:tcW w:w="1035" w:type="dxa"/>
          </w:tcPr>
          <w:p w:rsidR="000E1BC1" w:rsidRDefault="000E1BC1" w:rsidP="00157985">
            <w:pPr>
              <w:pStyle w:val="Tabelle"/>
              <w:keepNext w:val="0"/>
            </w:pPr>
          </w:p>
        </w:tc>
        <w:tc>
          <w:tcPr>
            <w:tcW w:w="3942" w:type="dxa"/>
          </w:tcPr>
          <w:p w:rsidR="000E1BC1" w:rsidRDefault="000E1BC1" w:rsidP="00157985">
            <w:pPr>
              <w:pStyle w:val="Tabelle"/>
              <w:keepNext w:val="0"/>
            </w:pPr>
          </w:p>
        </w:tc>
        <w:tc>
          <w:tcPr>
            <w:tcW w:w="2288" w:type="dxa"/>
          </w:tcPr>
          <w:p w:rsidR="000E1BC1" w:rsidRDefault="000E1BC1" w:rsidP="00157985">
            <w:pPr>
              <w:pStyle w:val="Tabelle"/>
              <w:keepNext w:val="0"/>
            </w:pPr>
          </w:p>
        </w:tc>
      </w:tr>
      <w:tr w:rsidR="000E1BC1" w:rsidTr="00786879">
        <w:tc>
          <w:tcPr>
            <w:tcW w:w="803" w:type="dxa"/>
          </w:tcPr>
          <w:p w:rsidR="000E1BC1" w:rsidRDefault="000E1BC1" w:rsidP="00157985">
            <w:pPr>
              <w:pStyle w:val="Tabelle"/>
              <w:keepNext w:val="0"/>
            </w:pPr>
            <w:r>
              <w:t>7</w:t>
            </w:r>
          </w:p>
        </w:tc>
        <w:tc>
          <w:tcPr>
            <w:tcW w:w="1465" w:type="dxa"/>
          </w:tcPr>
          <w:p w:rsidR="000E1BC1" w:rsidRDefault="000E1BC1" w:rsidP="00157985">
            <w:pPr>
              <w:pStyle w:val="Tabelle"/>
              <w:keepNext w:val="0"/>
            </w:pPr>
          </w:p>
        </w:tc>
        <w:tc>
          <w:tcPr>
            <w:tcW w:w="1035" w:type="dxa"/>
          </w:tcPr>
          <w:p w:rsidR="000E1BC1" w:rsidRDefault="000E1BC1" w:rsidP="00157985">
            <w:pPr>
              <w:pStyle w:val="Tabelle"/>
              <w:keepNext w:val="0"/>
            </w:pPr>
          </w:p>
        </w:tc>
        <w:tc>
          <w:tcPr>
            <w:tcW w:w="3942" w:type="dxa"/>
          </w:tcPr>
          <w:p w:rsidR="000E1BC1" w:rsidRDefault="000E1BC1" w:rsidP="00157985">
            <w:pPr>
              <w:pStyle w:val="Tabelle"/>
              <w:keepNext w:val="0"/>
            </w:pPr>
          </w:p>
        </w:tc>
        <w:tc>
          <w:tcPr>
            <w:tcW w:w="2288" w:type="dxa"/>
          </w:tcPr>
          <w:p w:rsidR="000E1BC1" w:rsidRDefault="000E1BC1" w:rsidP="00157985">
            <w:pPr>
              <w:pStyle w:val="Tabelle"/>
              <w:keepNext w:val="0"/>
            </w:pPr>
          </w:p>
        </w:tc>
      </w:tr>
    </w:tbl>
    <w:p w:rsidR="000E1BC1" w:rsidRDefault="000E1BC1" w:rsidP="000E1BC1"/>
    <w:p w:rsidR="000E1BC1" w:rsidRDefault="000E1BC1" w:rsidP="000E1BC1"/>
    <w:p w:rsidR="00F80680" w:rsidRPr="00DC52F9" w:rsidRDefault="00DC52F9" w:rsidP="000E1BC1">
      <w:pPr>
        <w:rPr>
          <w:b/>
        </w:rPr>
      </w:pPr>
      <w:r>
        <w:br w:type="page"/>
      </w:r>
      <w:r w:rsidRPr="00DC52F9">
        <w:rPr>
          <w:b/>
        </w:rPr>
        <w:lastRenderedPageBreak/>
        <w:t>Inhalt</w:t>
      </w:r>
    </w:p>
    <w:p w:rsidR="00DC52F9" w:rsidRDefault="00DC52F9" w:rsidP="000E1BC1"/>
    <w:p w:rsidR="00D842FC" w:rsidRDefault="004B5FEB">
      <w:pPr>
        <w:pStyle w:val="Verzeichnis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 w:rsidRPr="004C68EE">
        <w:rPr>
          <w:b w:val="0"/>
          <w:bCs w:val="0"/>
          <w:sz w:val="24"/>
          <w:szCs w:val="24"/>
        </w:rPr>
        <w:fldChar w:fldCharType="begin"/>
      </w:r>
      <w:r w:rsidRPr="004C68EE">
        <w:rPr>
          <w:b w:val="0"/>
          <w:bCs w:val="0"/>
          <w:sz w:val="24"/>
          <w:szCs w:val="24"/>
        </w:rPr>
        <w:instrText xml:space="preserve"> TOC \o "1-3" \h \z \u </w:instrText>
      </w:r>
      <w:r w:rsidRPr="004C68EE">
        <w:rPr>
          <w:b w:val="0"/>
          <w:bCs w:val="0"/>
          <w:sz w:val="24"/>
          <w:szCs w:val="24"/>
        </w:rPr>
        <w:fldChar w:fldCharType="separate"/>
      </w:r>
      <w:hyperlink w:anchor="_Toc89949410" w:history="1">
        <w:r w:rsidR="00D842FC" w:rsidRPr="00DC5072">
          <w:rPr>
            <w:rStyle w:val="Hyperlink"/>
            <w:noProof/>
          </w:rPr>
          <w:t>1</w:t>
        </w:r>
        <w:r w:rsidR="00D842F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842FC" w:rsidRPr="00DC5072">
          <w:rPr>
            <w:rStyle w:val="Hyperlink"/>
            <w:noProof/>
          </w:rPr>
          <w:t>Veranlassung</w:t>
        </w:r>
        <w:r w:rsidR="00D842FC">
          <w:rPr>
            <w:noProof/>
            <w:webHidden/>
          </w:rPr>
          <w:tab/>
        </w:r>
        <w:r w:rsidR="00D842FC">
          <w:rPr>
            <w:noProof/>
            <w:webHidden/>
          </w:rPr>
          <w:fldChar w:fldCharType="begin"/>
        </w:r>
        <w:r w:rsidR="00D842FC">
          <w:rPr>
            <w:noProof/>
            <w:webHidden/>
          </w:rPr>
          <w:instrText xml:space="preserve"> PAGEREF _Toc89949410 \h </w:instrText>
        </w:r>
        <w:r w:rsidR="00D842FC">
          <w:rPr>
            <w:noProof/>
            <w:webHidden/>
          </w:rPr>
        </w:r>
        <w:r w:rsidR="00D842FC">
          <w:rPr>
            <w:noProof/>
            <w:webHidden/>
          </w:rPr>
          <w:fldChar w:fldCharType="separate"/>
        </w:r>
        <w:r w:rsidR="00D842FC">
          <w:rPr>
            <w:noProof/>
            <w:webHidden/>
          </w:rPr>
          <w:t>4</w:t>
        </w:r>
        <w:r w:rsidR="00D842FC">
          <w:rPr>
            <w:noProof/>
            <w:webHidden/>
          </w:rPr>
          <w:fldChar w:fldCharType="end"/>
        </w:r>
      </w:hyperlink>
    </w:p>
    <w:p w:rsidR="00D842FC" w:rsidRDefault="00D842FC">
      <w:pPr>
        <w:pStyle w:val="Verzeichnis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89949411" w:history="1">
        <w:r w:rsidRPr="00DC5072">
          <w:rPr>
            <w:rStyle w:val="Hyperlink"/>
            <w:noProof/>
          </w:rPr>
          <w:t>2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Pr="00DC5072">
          <w:rPr>
            <w:rStyle w:val="Hyperlink"/>
            <w:noProof/>
          </w:rPr>
          <w:t>Methodik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_Toc89949411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842FC" w:rsidRDefault="00D842FC">
      <w:pPr>
        <w:pStyle w:val="Verzeichnis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89949412" w:history="1">
        <w:r w:rsidRPr="00DC5072">
          <w:rPr>
            <w:rStyle w:val="Hyperlink"/>
            <w:noProof/>
          </w:rPr>
          <w:t>3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Pr="00DC5072">
          <w:rPr>
            <w:rStyle w:val="Hyperlink"/>
            <w:noProof/>
          </w:rPr>
          <w:t>Gefährdungsübersicht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_Toc89949412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842FC" w:rsidRDefault="00D842FC">
      <w:pPr>
        <w:pStyle w:val="Verzeichnis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89949413" w:history="1">
        <w:r w:rsidRPr="00DC5072">
          <w:rPr>
            <w:rStyle w:val="Hyperlink"/>
            <w:noProof/>
          </w:rPr>
          <w:t>4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Pr="00DC5072">
          <w:rPr>
            <w:rStyle w:val="Hyperlink"/>
            <w:noProof/>
          </w:rPr>
          <w:t>Risikoeinstufung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_Toc89949413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842FC" w:rsidRDefault="00D842FC">
      <w:pPr>
        <w:pStyle w:val="Verzeichnis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9949414" w:history="1">
        <w:r w:rsidRPr="00DC5072">
          <w:rPr>
            <w:rStyle w:val="Hyperlink"/>
            <w:noProof/>
          </w:rPr>
          <w:t>4.1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DC5072">
          <w:rPr>
            <w:rStyle w:val="Hyperlink"/>
            <w:noProof/>
          </w:rPr>
          <w:t>Definition der Auswirkungen (Schadenshöhe)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_Toc89949414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842FC" w:rsidRDefault="00D842FC">
      <w:pPr>
        <w:pStyle w:val="Verzeichnis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9949415" w:history="1">
        <w:r w:rsidRPr="00DC5072">
          <w:rPr>
            <w:rStyle w:val="Hyperlink"/>
            <w:noProof/>
          </w:rPr>
          <w:t>4.2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DC5072">
          <w:rPr>
            <w:rStyle w:val="Hyperlink"/>
            <w:noProof/>
          </w:rPr>
          <w:t>Definition der Eintrittshäufigkeit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_Toc89949415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842FC" w:rsidRDefault="00D842FC">
      <w:pPr>
        <w:pStyle w:val="Verzeichnis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9949416" w:history="1">
        <w:r w:rsidRPr="00DC5072">
          <w:rPr>
            <w:rStyle w:val="Hyperlink"/>
            <w:noProof/>
          </w:rPr>
          <w:t>4.3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DC5072">
          <w:rPr>
            <w:rStyle w:val="Hyperlink"/>
            <w:noProof/>
          </w:rPr>
          <w:t>Definition der Risikokategorien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_Toc89949416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842FC" w:rsidRDefault="00D842FC">
      <w:pPr>
        <w:pStyle w:val="Verzeichnis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9949417" w:history="1">
        <w:r w:rsidRPr="00DC5072">
          <w:rPr>
            <w:rStyle w:val="Hyperlink"/>
            <w:noProof/>
          </w:rPr>
          <w:t>4.4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DC5072">
          <w:rPr>
            <w:rStyle w:val="Hyperlink"/>
            <w:noProof/>
          </w:rPr>
          <w:t>Risikoeinschätzung / - Bewertung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_Toc89949417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842FC" w:rsidRDefault="00D842FC">
      <w:pPr>
        <w:pStyle w:val="Verzeichnis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89949418" w:history="1">
        <w:r w:rsidRPr="00DC5072">
          <w:rPr>
            <w:rStyle w:val="Hyperlink"/>
            <w:noProof/>
          </w:rPr>
          <w:t>5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Pr="00DC5072">
          <w:rPr>
            <w:rStyle w:val="Hyperlink"/>
            <w:noProof/>
          </w:rPr>
          <w:t>Risikobehandlung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_Toc89949418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842FC" w:rsidRDefault="00D842FC">
      <w:pPr>
        <w:pStyle w:val="Verzeichnis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9949419" w:history="1">
        <w:r w:rsidRPr="00DC5072">
          <w:rPr>
            <w:rStyle w:val="Hyperlink"/>
            <w:noProof/>
          </w:rPr>
          <w:t>5.1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DC5072">
          <w:rPr>
            <w:rStyle w:val="Hyperlink"/>
            <w:noProof/>
          </w:rPr>
          <w:t>Vermeidung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_Toc89949419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842FC" w:rsidRDefault="00D842FC">
      <w:pPr>
        <w:pStyle w:val="Verzeichnis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9949420" w:history="1">
        <w:r w:rsidRPr="00DC5072">
          <w:rPr>
            <w:rStyle w:val="Hyperlink"/>
            <w:noProof/>
          </w:rPr>
          <w:t>5.2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DC5072">
          <w:rPr>
            <w:rStyle w:val="Hyperlink"/>
            <w:noProof/>
          </w:rPr>
          <w:t>Reduktion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_Toc89949420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842FC" w:rsidRDefault="00D842FC">
      <w:pPr>
        <w:pStyle w:val="Verzeichnis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9949421" w:history="1">
        <w:r w:rsidRPr="00DC5072">
          <w:rPr>
            <w:rStyle w:val="Hyperlink"/>
            <w:noProof/>
          </w:rPr>
          <w:t>5.3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DC5072">
          <w:rPr>
            <w:rStyle w:val="Hyperlink"/>
            <w:noProof/>
          </w:rPr>
          <w:t>Transfer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_Toc89949421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842FC" w:rsidRDefault="00D842FC">
      <w:pPr>
        <w:pStyle w:val="Verzeichnis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9949422" w:history="1">
        <w:r w:rsidRPr="00DC5072">
          <w:rPr>
            <w:rStyle w:val="Hyperlink"/>
            <w:noProof/>
          </w:rPr>
          <w:t>5.4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DC5072">
          <w:rPr>
            <w:rStyle w:val="Hyperlink"/>
            <w:noProof/>
          </w:rPr>
          <w:t>Akzeptanz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_Toc89949422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842FC" w:rsidRDefault="00D842FC">
      <w:pPr>
        <w:pStyle w:val="Verzeichnis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89949423" w:history="1">
        <w:r w:rsidRPr="00DC5072">
          <w:rPr>
            <w:rStyle w:val="Hyperlink"/>
            <w:noProof/>
          </w:rPr>
          <w:t>6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Pr="00DC5072">
          <w:rPr>
            <w:rStyle w:val="Hyperlink"/>
            <w:noProof/>
          </w:rPr>
          <w:t>Revision und Fortschreibung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_Toc89949423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842FC" w:rsidRDefault="00D842FC">
      <w:pPr>
        <w:pStyle w:val="Verzeichnis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89949424" w:history="1">
        <w:r w:rsidRPr="00DC5072">
          <w:rPr>
            <w:rStyle w:val="Hyperlink"/>
            <w:noProof/>
          </w:rPr>
          <w:t>7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Pr="00DC5072">
          <w:rPr>
            <w:rStyle w:val="Hyperlink"/>
            <w:noProof/>
          </w:rPr>
          <w:t>Inkrafttreten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_Toc89949424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C52F9" w:rsidRPr="00060892" w:rsidRDefault="004B5FEB" w:rsidP="00076F08">
      <w:pPr>
        <w:tabs>
          <w:tab w:val="right" w:leader="dot" w:pos="9639"/>
        </w:tabs>
        <w:rPr>
          <w:sz w:val="26"/>
          <w:szCs w:val="26"/>
        </w:rPr>
        <w:sectPr w:rsidR="00DC52F9" w:rsidRPr="00060892" w:rsidSect="00A95B1C">
          <w:headerReference w:type="default" r:id="rId7"/>
          <w:footerReference w:type="default" r:id="rId8"/>
          <w:footerReference w:type="first" r:id="rId9"/>
          <w:pgSz w:w="11907" w:h="16840" w:code="9"/>
          <w:pgMar w:top="1134" w:right="1134" w:bottom="1134" w:left="1134" w:header="425" w:footer="278" w:gutter="0"/>
          <w:cols w:space="720"/>
          <w:titlePg/>
        </w:sectPr>
      </w:pPr>
      <w:r w:rsidRPr="004C68EE">
        <w:rPr>
          <w:b/>
          <w:bCs/>
          <w:szCs w:val="24"/>
        </w:rPr>
        <w:fldChar w:fldCharType="end"/>
      </w:r>
    </w:p>
    <w:p w:rsidR="0082717C" w:rsidRDefault="00EC7A69" w:rsidP="000F3F60">
      <w:pPr>
        <w:pStyle w:val="berschrift1"/>
      </w:pPr>
      <w:bookmarkStart w:id="1" w:name="_Toc89949410"/>
      <w:r>
        <w:lastRenderedPageBreak/>
        <w:t>Veranlassung</w:t>
      </w:r>
      <w:bookmarkEnd w:id="1"/>
    </w:p>
    <w:p w:rsidR="00B90083" w:rsidRDefault="00B90083" w:rsidP="0082717C">
      <w:r>
        <w:t>Den Anforderungen zur Erfüllung des Schutzbedarfes Normal wird in der Regel durch die Umsetzung der Standard-Maßnahmen des BSI-Grundschutzes entsprochen.</w:t>
      </w:r>
      <w:r w:rsidR="00580326">
        <w:t xml:space="preserve"> E</w:t>
      </w:r>
      <w:r w:rsidR="00580326" w:rsidRPr="00580326">
        <w:t>ine individuelle Bedrohungs-und Schwachstellenanalyse</w:t>
      </w:r>
      <w:r w:rsidR="00580326">
        <w:t xml:space="preserve"> ist hier entbehrlich.</w:t>
      </w:r>
    </w:p>
    <w:p w:rsidR="00B90083" w:rsidRPr="00B90083" w:rsidRDefault="00B90083" w:rsidP="00580326">
      <w:r w:rsidRPr="00B90083">
        <w:t xml:space="preserve">In bestimmten Fällen muss jedoch explizit </w:t>
      </w:r>
      <w:r w:rsidR="00580326" w:rsidRPr="00580326">
        <w:t xml:space="preserve">eine Risikoanalyse durchgeführt </w:t>
      </w:r>
      <w:r w:rsidRPr="00B90083">
        <w:t>werden,</w:t>
      </w:r>
      <w:r w:rsidR="00580326">
        <w:t xml:space="preserve"> </w:t>
      </w:r>
      <w:r w:rsidRPr="00B90083">
        <w:t>beispielsweise wenn der betrachtete Informationsverbund Zielobjekte enthält, die</w:t>
      </w:r>
    </w:p>
    <w:p w:rsidR="00B90083" w:rsidRPr="00B90083" w:rsidRDefault="00B90083" w:rsidP="00B85270">
      <w:pPr>
        <w:pStyle w:val="Listenabsatz"/>
        <w:numPr>
          <w:ilvl w:val="0"/>
          <w:numId w:val="15"/>
        </w:numPr>
      </w:pPr>
      <w:r w:rsidRPr="00B90083">
        <w:t>einen hohen</w:t>
      </w:r>
      <w:r w:rsidR="00580326" w:rsidRPr="00B85270">
        <w:rPr>
          <w:b/>
          <w:bCs/>
        </w:rPr>
        <w:t xml:space="preserve"> </w:t>
      </w:r>
      <w:r w:rsidRPr="00B90083">
        <w:t>oder</w:t>
      </w:r>
      <w:r w:rsidR="00580326" w:rsidRPr="00B85270">
        <w:rPr>
          <w:b/>
          <w:bCs/>
        </w:rPr>
        <w:t xml:space="preserve"> </w:t>
      </w:r>
      <w:r w:rsidRPr="00B90083">
        <w:t>sehr hohen Schutzbedarf</w:t>
      </w:r>
      <w:r w:rsidR="00580326" w:rsidRPr="00B85270">
        <w:rPr>
          <w:b/>
          <w:bCs/>
        </w:rPr>
        <w:t xml:space="preserve"> </w:t>
      </w:r>
      <w:r w:rsidRPr="00B90083">
        <w:t>in mindestens</w:t>
      </w:r>
      <w:r w:rsidR="00580326" w:rsidRPr="00B85270">
        <w:rPr>
          <w:b/>
          <w:bCs/>
        </w:rPr>
        <w:t xml:space="preserve"> </w:t>
      </w:r>
      <w:r w:rsidRPr="00B90083">
        <w:t>einem</w:t>
      </w:r>
      <w:r w:rsidR="00580326" w:rsidRPr="00B85270">
        <w:rPr>
          <w:b/>
          <w:bCs/>
        </w:rPr>
        <w:t xml:space="preserve"> </w:t>
      </w:r>
      <w:r w:rsidRPr="00B90083">
        <w:t>der</w:t>
      </w:r>
      <w:r w:rsidR="00580326" w:rsidRPr="00B85270">
        <w:rPr>
          <w:b/>
          <w:bCs/>
        </w:rPr>
        <w:t xml:space="preserve"> </w:t>
      </w:r>
      <w:r w:rsidRPr="00B90083">
        <w:t>drei Grundwerte</w:t>
      </w:r>
      <w:r w:rsidR="00580326" w:rsidRPr="00B85270">
        <w:rPr>
          <w:b/>
          <w:bCs/>
        </w:rPr>
        <w:t xml:space="preserve"> </w:t>
      </w:r>
      <w:r w:rsidRPr="00B90083">
        <w:t>Vertraulichkeit, Integrität oder</w:t>
      </w:r>
      <w:r w:rsidR="00580326" w:rsidRPr="00B85270">
        <w:rPr>
          <w:b/>
          <w:bCs/>
        </w:rPr>
        <w:t xml:space="preserve"> </w:t>
      </w:r>
      <w:r w:rsidRPr="00B90083">
        <w:t>Verfügbarkeit haben oder</w:t>
      </w:r>
    </w:p>
    <w:p w:rsidR="00B90083" w:rsidRPr="00B90083" w:rsidRDefault="00B90083" w:rsidP="00B85270">
      <w:pPr>
        <w:pStyle w:val="Listenabsatz"/>
        <w:numPr>
          <w:ilvl w:val="0"/>
          <w:numId w:val="15"/>
        </w:numPr>
      </w:pPr>
      <w:r w:rsidRPr="00B90083">
        <w:t>mit den existierenden Bausteinen des IT-Grundschutzes nicht hinreichend</w:t>
      </w:r>
      <w:r w:rsidR="00580326" w:rsidRPr="00B85270">
        <w:rPr>
          <w:b/>
          <w:bCs/>
        </w:rPr>
        <w:t xml:space="preserve"> </w:t>
      </w:r>
      <w:r w:rsidRPr="00B90083">
        <w:t>abgebildet (modelliert) werden können oder</w:t>
      </w:r>
    </w:p>
    <w:p w:rsidR="00B90083" w:rsidRDefault="00B90083" w:rsidP="00B85270">
      <w:pPr>
        <w:pStyle w:val="Listenabsatz"/>
        <w:numPr>
          <w:ilvl w:val="0"/>
          <w:numId w:val="15"/>
        </w:numPr>
      </w:pPr>
      <w:r w:rsidRPr="00B90083">
        <w:t>in Einsatzszenarien (Umgebung, Anwendung) betrieben werden, die im Rahmen des IT-Grundschutzes nicht vorgesehen sind.</w:t>
      </w:r>
    </w:p>
    <w:p w:rsidR="00FC11C9" w:rsidRDefault="00FC11C9" w:rsidP="00FC11C9">
      <w:r>
        <w:t>Risikoanalysen werden initial und bei wesentlichen Änderungen im Informationsverbund und bei einer sich abzeichnenden grundlegenden Änderung der Gefährdungslage durchgeführt.</w:t>
      </w:r>
    </w:p>
    <w:p w:rsidR="00FC11C9" w:rsidRDefault="00FC11C9" w:rsidP="00FC11C9">
      <w:r>
        <w:t>Daraus resultierende Maßnahmen werden im erforderlichen Zeitraum umgesetzt und im Informationssicherheitskonzept dokumentiert (Realisierungsplan).</w:t>
      </w:r>
    </w:p>
    <w:p w:rsidR="00FC11C9" w:rsidRDefault="00FC11C9" w:rsidP="00FC11C9">
      <w:r>
        <w:t>Eine turnusmäßige vollständige Aktualisierung der Risikoanalyse</w:t>
      </w:r>
      <w:r w:rsidR="001E5C6A">
        <w:t>n</w:t>
      </w:r>
      <w:r>
        <w:t xml:space="preserve"> erfolgt nicht.</w:t>
      </w:r>
    </w:p>
    <w:p w:rsidR="00425E50" w:rsidRDefault="00425E50" w:rsidP="00425E50">
      <w:r w:rsidRPr="001A76AF">
        <w:t xml:space="preserve">Risikoanalysen werden </w:t>
      </w:r>
      <w:r w:rsidR="001A76AF" w:rsidRPr="001A76AF">
        <w:t xml:space="preserve">zeitlich </w:t>
      </w:r>
      <w:r w:rsidR="007D01F6" w:rsidRPr="001A76AF">
        <w:t>nach</w:t>
      </w:r>
      <w:r w:rsidRPr="001A76AF">
        <w:t xml:space="preserve"> der Umsetzung der IT-Grundschutz-Anforderungen durchgeführt.</w:t>
      </w:r>
    </w:p>
    <w:p w:rsidR="00EC7A69" w:rsidRDefault="00EC7A69" w:rsidP="00B90083">
      <w:pPr>
        <w:pStyle w:val="berschrift1"/>
      </w:pPr>
      <w:bookmarkStart w:id="2" w:name="_Toc89949411"/>
      <w:r>
        <w:t>Methodik</w:t>
      </w:r>
      <w:bookmarkEnd w:id="2"/>
    </w:p>
    <w:p w:rsidR="00030811" w:rsidRPr="00030811" w:rsidRDefault="00030811" w:rsidP="00030811">
      <w:r w:rsidRPr="00030811">
        <w:t xml:space="preserve">Die in der </w:t>
      </w:r>
      <w:r w:rsidR="00D842FC">
        <w:t>###NAME DER ORGANISATION###</w:t>
      </w:r>
      <w:r w:rsidRPr="00030811">
        <w:t xml:space="preserve"> zur Anwendung kommende Risikoanalyse sieht folgende Schritte vor</w:t>
      </w:r>
      <w:r w:rsidR="001A76AF">
        <w:t xml:space="preserve">, die dem </w:t>
      </w:r>
      <w:r w:rsidR="001A76AF" w:rsidRPr="00030811">
        <w:t>BSI-Standard</w:t>
      </w:r>
      <w:r w:rsidR="001A76AF">
        <w:t xml:space="preserve"> </w:t>
      </w:r>
      <w:r w:rsidR="001A76AF" w:rsidRPr="00030811">
        <w:t>200-3</w:t>
      </w:r>
      <w:r w:rsidR="001A76AF">
        <w:t xml:space="preserve"> entsprechen</w:t>
      </w:r>
      <w:r w:rsidR="001F57A6">
        <w:t>:</w:t>
      </w:r>
    </w:p>
    <w:p w:rsidR="00030811" w:rsidRPr="00030811" w:rsidRDefault="00030811" w:rsidP="004A2DD1">
      <w:pPr>
        <w:pStyle w:val="Listenabsatz"/>
        <w:numPr>
          <w:ilvl w:val="0"/>
          <w:numId w:val="14"/>
        </w:numPr>
      </w:pPr>
      <w:r w:rsidRPr="00030811">
        <w:t xml:space="preserve">Erstellung einer </w:t>
      </w:r>
      <w:r w:rsidRPr="001F57A6">
        <w:t>Gefährdungsübersicht</w:t>
      </w:r>
      <w:r w:rsidR="001F57A6" w:rsidRPr="004A2DD1">
        <w:rPr>
          <w:b/>
          <w:bCs/>
        </w:rPr>
        <w:br/>
      </w:r>
      <w:r w:rsidR="004A2DD1">
        <w:t xml:space="preserve">- </w:t>
      </w:r>
      <w:r w:rsidRPr="00030811">
        <w:t>Zusammenstellung einer Liste von möglichen elementaren Gefährdungen</w:t>
      </w:r>
      <w:r w:rsidR="001F57A6">
        <w:br/>
      </w:r>
      <w:r w:rsidR="004A2DD1">
        <w:t xml:space="preserve">- </w:t>
      </w:r>
      <w:r w:rsidRPr="00030811">
        <w:t>Ermittlung zusätzlicher Gefährdungen, die über die elementaren Gefährdungen hinausgehen und sich aus dem spezifischen Einsatzszenario ergeben</w:t>
      </w:r>
    </w:p>
    <w:p w:rsidR="00030811" w:rsidRPr="00030811" w:rsidRDefault="00030811" w:rsidP="004A2DD1">
      <w:pPr>
        <w:pStyle w:val="Listenabsatz"/>
        <w:numPr>
          <w:ilvl w:val="0"/>
          <w:numId w:val="14"/>
        </w:numPr>
      </w:pPr>
      <w:r w:rsidRPr="001F57A6">
        <w:t>Risikoeinstufung</w:t>
      </w:r>
      <w:r w:rsidR="001F57A6" w:rsidRPr="004A2DD1">
        <w:rPr>
          <w:b/>
          <w:bCs/>
        </w:rPr>
        <w:br/>
      </w:r>
      <w:r w:rsidR="004A2DD1">
        <w:t xml:space="preserve">- </w:t>
      </w:r>
      <w:r w:rsidRPr="00030811">
        <w:t>Risikoeinschätzung (Ermittlung von Eintrittshäufigkeit und Schadenshöhe)</w:t>
      </w:r>
      <w:r w:rsidR="001F57A6">
        <w:br/>
      </w:r>
      <w:r w:rsidR="004A2DD1">
        <w:t xml:space="preserve">- </w:t>
      </w:r>
      <w:r w:rsidRPr="00030811">
        <w:t>Risikobewertung (Ermittlung der Risikokategorie)</w:t>
      </w:r>
    </w:p>
    <w:p w:rsidR="00030811" w:rsidRPr="00030811" w:rsidRDefault="00030811" w:rsidP="004A2DD1">
      <w:pPr>
        <w:pStyle w:val="Listenabsatz"/>
        <w:numPr>
          <w:ilvl w:val="0"/>
          <w:numId w:val="14"/>
        </w:numPr>
      </w:pPr>
      <w:r w:rsidRPr="001F57A6">
        <w:t>Risikobehandlung</w:t>
      </w:r>
      <w:r w:rsidR="001F57A6" w:rsidRPr="004A2DD1">
        <w:rPr>
          <w:b/>
          <w:bCs/>
        </w:rPr>
        <w:br/>
      </w:r>
      <w:r w:rsidR="004A2DD1">
        <w:t xml:space="preserve">- </w:t>
      </w:r>
      <w:r w:rsidRPr="00030811">
        <w:t>Risikovermeidung</w:t>
      </w:r>
      <w:r w:rsidR="001F57A6">
        <w:br/>
      </w:r>
      <w:r w:rsidR="004A2DD1">
        <w:t xml:space="preserve">- </w:t>
      </w:r>
      <w:r w:rsidRPr="00030811">
        <w:t>Risikoreduktion (Ermittlung von Sicherheitsmaßnahmen)</w:t>
      </w:r>
      <w:r w:rsidR="001F57A6">
        <w:br/>
      </w:r>
      <w:r w:rsidR="004A2DD1">
        <w:t xml:space="preserve">- </w:t>
      </w:r>
      <w:r w:rsidRPr="00030811">
        <w:t>Risikotransfer</w:t>
      </w:r>
      <w:r w:rsidR="001F57A6">
        <w:br/>
      </w:r>
      <w:r w:rsidR="004A2DD1">
        <w:t xml:space="preserve">- </w:t>
      </w:r>
      <w:r w:rsidRPr="00030811">
        <w:t>Risikoakzeptanz</w:t>
      </w:r>
    </w:p>
    <w:p w:rsidR="00030811" w:rsidRDefault="00030811" w:rsidP="004A2DD1">
      <w:pPr>
        <w:pStyle w:val="Listenabsatz"/>
        <w:numPr>
          <w:ilvl w:val="0"/>
          <w:numId w:val="14"/>
        </w:numPr>
      </w:pPr>
      <w:r w:rsidRPr="001F57A6">
        <w:t>Konsolidierung des Sicherheitskonzepts</w:t>
      </w:r>
      <w:r w:rsidRPr="004A2DD1">
        <w:rPr>
          <w:b/>
          <w:bCs/>
        </w:rPr>
        <w:br/>
      </w:r>
      <w:r w:rsidR="004A2DD1">
        <w:t xml:space="preserve">- </w:t>
      </w:r>
      <w:r w:rsidRPr="00030811">
        <w:t>Integration der aufgrund der Risikoanalyse identifizierten zusätzlichen</w:t>
      </w:r>
      <w:r w:rsidR="004A2DD1">
        <w:t xml:space="preserve"> </w:t>
      </w:r>
      <w:r w:rsidRPr="00030811">
        <w:t>Maßnahmen in das Sicherheitskonzept</w:t>
      </w:r>
    </w:p>
    <w:p w:rsidR="004B5BA1" w:rsidRDefault="004B5BA1" w:rsidP="0064543E">
      <w:pPr>
        <w:pStyle w:val="berschrift1"/>
      </w:pPr>
      <w:bookmarkStart w:id="3" w:name="_Toc89949412"/>
      <w:r>
        <w:t>Gefährdungsübersicht</w:t>
      </w:r>
      <w:bookmarkEnd w:id="3"/>
    </w:p>
    <w:p w:rsidR="00771DF1" w:rsidRDefault="004B5BA1" w:rsidP="004B5BA1">
      <w:r>
        <w:t xml:space="preserve">Die jeweiligen Experten eines Zielobjektes (z.B. Fach- / IT-Verantwortliche, </w:t>
      </w:r>
      <w:r w:rsidR="00DB47C4">
        <w:t xml:space="preserve">Anwendungsbetreuer, </w:t>
      </w:r>
      <w:proofErr w:type="spellStart"/>
      <w:r>
        <w:t>BfIS</w:t>
      </w:r>
      <w:proofErr w:type="spellEnd"/>
      <w:r>
        <w:t>)</w:t>
      </w:r>
      <w:r w:rsidRPr="00296EC0">
        <w:t xml:space="preserve"> </w:t>
      </w:r>
      <w:r>
        <w:t xml:space="preserve">erstellen je Zielobjekt </w:t>
      </w:r>
      <w:r w:rsidR="00771DF1">
        <w:t>eine Liste der Gefährdungen.</w:t>
      </w:r>
      <w:r w:rsidR="00942983">
        <w:t xml:space="preserve"> </w:t>
      </w:r>
      <w:r w:rsidR="00771DF1">
        <w:t xml:space="preserve">Dazu bewerten sie </w:t>
      </w:r>
      <w:r w:rsidR="00A44C9B">
        <w:t xml:space="preserve">in einem vom </w:t>
      </w:r>
      <w:proofErr w:type="spellStart"/>
      <w:r w:rsidR="00A44C9B">
        <w:t>BfIS</w:t>
      </w:r>
      <w:proofErr w:type="spellEnd"/>
      <w:r w:rsidR="00A44C9B">
        <w:t xml:space="preserve"> moderierten Workshop </w:t>
      </w:r>
      <w:r w:rsidR="00771DF1">
        <w:t>die Liste aller elementaren Gefährd</w:t>
      </w:r>
      <w:r w:rsidR="00107642">
        <w:t xml:space="preserve">ungen. Falls es </w:t>
      </w:r>
      <w:r w:rsidR="00107642">
        <w:lastRenderedPageBreak/>
        <w:t>im BSI-Grundschutz einen passenden Baustein gibt, werden die dort nicht aufgezählten Gefährdungen bewertet.</w:t>
      </w:r>
    </w:p>
    <w:p w:rsidR="004B5BA1" w:rsidRDefault="00107642" w:rsidP="004B5BA1">
      <w:r>
        <w:t xml:space="preserve">Die Beteiligten </w:t>
      </w:r>
      <w:r w:rsidR="004B5BA1">
        <w:t>e</w:t>
      </w:r>
      <w:r w:rsidR="004B5BA1" w:rsidRPr="00030811">
        <w:t>rmitt</w:t>
      </w:r>
      <w:r w:rsidR="004B5BA1">
        <w:t>eln</w:t>
      </w:r>
      <w:r w:rsidR="004B5BA1" w:rsidRPr="00030811">
        <w:t xml:space="preserve"> </w:t>
      </w:r>
      <w:r>
        <w:t xml:space="preserve">über die </w:t>
      </w:r>
      <w:r w:rsidR="004B5BA1">
        <w:t>elementare</w:t>
      </w:r>
      <w:r>
        <w:t>n Gefährdungen hinausgehende</w:t>
      </w:r>
      <w:r w:rsidR="004B5BA1">
        <w:t xml:space="preserve"> zusätzliche Gefährdungen</w:t>
      </w:r>
      <w:r>
        <w:t>.</w:t>
      </w:r>
    </w:p>
    <w:p w:rsidR="0064543E" w:rsidRDefault="0064543E" w:rsidP="0064543E">
      <w:pPr>
        <w:pStyle w:val="berschrift1"/>
      </w:pPr>
      <w:bookmarkStart w:id="4" w:name="_Toc89949413"/>
      <w:r>
        <w:t>Risikoeinstufung</w:t>
      </w:r>
      <w:bookmarkEnd w:id="4"/>
    </w:p>
    <w:p w:rsidR="0064543E" w:rsidRDefault="0064543E" w:rsidP="0064543E">
      <w:r>
        <w:t>Für jedes ermittelte Zielobjekt ist das sich aus den Gefährdungen ergebende Risiko zu ermitteln.</w:t>
      </w:r>
    </w:p>
    <w:p w:rsidR="00254689" w:rsidRDefault="007E2352" w:rsidP="00254689">
      <w:pPr>
        <w:pStyle w:val="berschrift2"/>
      </w:pPr>
      <w:bookmarkStart w:id="5" w:name="_Toc89949414"/>
      <w:r>
        <w:t>Definition</w:t>
      </w:r>
      <w:r w:rsidR="00254689">
        <w:t xml:space="preserve"> der Auswirkungen</w:t>
      </w:r>
      <w:r w:rsidR="00026EFD">
        <w:t xml:space="preserve"> (Schadenshöhe)</w:t>
      </w:r>
      <w:bookmarkEnd w:id="5"/>
    </w:p>
    <w:p w:rsidR="00772E56" w:rsidRDefault="00772E56" w:rsidP="00772E56">
      <w:r>
        <w:t xml:space="preserve">Die </w:t>
      </w:r>
      <w:r w:rsidR="00E05A7F">
        <w:t>möglichen Auswirkungen einer Gefährdung werden wie folgt definiert:</w:t>
      </w:r>
    </w:p>
    <w:p w:rsidR="00E05A7F" w:rsidRDefault="00EC0343" w:rsidP="00E05A7F">
      <w:pPr>
        <w:pStyle w:val="Listenabsatz"/>
        <w:numPr>
          <w:ilvl w:val="0"/>
          <w:numId w:val="9"/>
        </w:numPr>
      </w:pPr>
      <w:r>
        <w:t>v</w:t>
      </w:r>
      <w:r w:rsidR="00E05A7F" w:rsidRPr="00E05A7F">
        <w:t>ernachlässigbar</w:t>
      </w:r>
      <w:r w:rsidR="00E05A7F">
        <w:br/>
      </w:r>
      <w:r w:rsidR="00E05A7F" w:rsidRPr="00E05A7F">
        <w:t>Die Schadensauswirkungen sind gering und können vernachlässigt werden.</w:t>
      </w:r>
    </w:p>
    <w:p w:rsidR="00E05A7F" w:rsidRDefault="00EC0343" w:rsidP="00E05A7F">
      <w:pPr>
        <w:pStyle w:val="Listenabsatz"/>
        <w:numPr>
          <w:ilvl w:val="0"/>
          <w:numId w:val="9"/>
        </w:numPr>
      </w:pPr>
      <w:r>
        <w:t>b</w:t>
      </w:r>
      <w:r w:rsidR="00E05A7F" w:rsidRPr="00E05A7F">
        <w:t>egrenzt</w:t>
      </w:r>
      <w:r w:rsidR="00E05A7F">
        <w:br/>
      </w:r>
      <w:r w:rsidR="00E05A7F" w:rsidRPr="00E05A7F">
        <w:t>Die Schadensauswirkungen sind begrenzt und überschaubar.</w:t>
      </w:r>
    </w:p>
    <w:p w:rsidR="00E05A7F" w:rsidRDefault="00EC0343" w:rsidP="00E05A7F">
      <w:pPr>
        <w:pStyle w:val="Listenabsatz"/>
        <w:numPr>
          <w:ilvl w:val="0"/>
          <w:numId w:val="9"/>
        </w:numPr>
      </w:pPr>
      <w:r>
        <w:t>b</w:t>
      </w:r>
      <w:r w:rsidR="00E05A7F" w:rsidRPr="00E05A7F">
        <w:t>eträchtlich</w:t>
      </w:r>
      <w:r w:rsidR="00E05A7F">
        <w:br/>
      </w:r>
      <w:r w:rsidR="00E05A7F" w:rsidRPr="00E05A7F">
        <w:t>Die Schadensauswirkungen können beträchtlich sein.</w:t>
      </w:r>
    </w:p>
    <w:p w:rsidR="00E05A7F" w:rsidRPr="00772E56" w:rsidRDefault="00EC0343" w:rsidP="00E05A7F">
      <w:pPr>
        <w:pStyle w:val="Listenabsatz"/>
        <w:numPr>
          <w:ilvl w:val="0"/>
          <w:numId w:val="9"/>
        </w:numPr>
      </w:pPr>
      <w:r>
        <w:t>e</w:t>
      </w:r>
      <w:r w:rsidR="00E05A7F" w:rsidRPr="00E05A7F">
        <w:t>xistenzbedrohend</w:t>
      </w:r>
      <w:r w:rsidR="00E05A7F">
        <w:br/>
      </w:r>
      <w:r w:rsidR="00E05A7F" w:rsidRPr="00E05A7F">
        <w:t>Die Schadensauswirkungen können ein existenziell bedrohliches, katastrophales Ausmaß erreichen.</w:t>
      </w:r>
    </w:p>
    <w:p w:rsidR="00254689" w:rsidRDefault="007E2352" w:rsidP="00254689">
      <w:pPr>
        <w:pStyle w:val="berschrift2"/>
      </w:pPr>
      <w:bookmarkStart w:id="6" w:name="_Toc89949415"/>
      <w:r>
        <w:t>Definition</w:t>
      </w:r>
      <w:r w:rsidR="00254689">
        <w:t xml:space="preserve"> der Eintrittshäufigkeit</w:t>
      </w:r>
      <w:bookmarkEnd w:id="6"/>
    </w:p>
    <w:p w:rsidR="00A5490F" w:rsidRDefault="00A5490F" w:rsidP="00A5490F">
      <w:r>
        <w:t xml:space="preserve">Die mögliche </w:t>
      </w:r>
      <w:r w:rsidR="00B60C22">
        <w:t>Eintrittshäufigkeit</w:t>
      </w:r>
      <w:r>
        <w:t xml:space="preserve"> einer Gefährdung w</w:t>
      </w:r>
      <w:r w:rsidR="00B60C22">
        <w:t>ird</w:t>
      </w:r>
      <w:r>
        <w:t xml:space="preserve"> wie folgt definiert:</w:t>
      </w:r>
    </w:p>
    <w:p w:rsidR="00A5490F" w:rsidRDefault="00EC0343" w:rsidP="00A5490F">
      <w:pPr>
        <w:pStyle w:val="Listenabsatz"/>
        <w:numPr>
          <w:ilvl w:val="0"/>
          <w:numId w:val="10"/>
        </w:numPr>
      </w:pPr>
      <w:r>
        <w:t>s</w:t>
      </w:r>
      <w:r w:rsidR="00A5490F" w:rsidRPr="00A5490F">
        <w:t>elten</w:t>
      </w:r>
      <w:r w:rsidR="00A5490F">
        <w:br/>
      </w:r>
      <w:r w:rsidR="00A5490F" w:rsidRPr="00A5490F">
        <w:t>Ereignis könnte nach heutigem Kenntnisstand höchstens alle fünf Jahre eintreten.</w:t>
      </w:r>
    </w:p>
    <w:p w:rsidR="00A5490F" w:rsidRDefault="00EC0343" w:rsidP="00A5490F">
      <w:pPr>
        <w:pStyle w:val="Listenabsatz"/>
        <w:numPr>
          <w:ilvl w:val="0"/>
          <w:numId w:val="10"/>
        </w:numPr>
      </w:pPr>
      <w:r>
        <w:t>m</w:t>
      </w:r>
      <w:r w:rsidR="00A5490F" w:rsidRPr="00A5490F">
        <w:t>ittel</w:t>
      </w:r>
      <w:r w:rsidR="00A5490F">
        <w:br/>
      </w:r>
      <w:r w:rsidR="00A5490F" w:rsidRPr="00A5490F">
        <w:t>Ereignis tritt einmal alle fünf Jahre bis einmal im Jahr ein.</w:t>
      </w:r>
    </w:p>
    <w:p w:rsidR="00A5490F" w:rsidRDefault="00EC0343" w:rsidP="00A5490F">
      <w:pPr>
        <w:pStyle w:val="Listenabsatz"/>
        <w:numPr>
          <w:ilvl w:val="0"/>
          <w:numId w:val="10"/>
        </w:numPr>
      </w:pPr>
      <w:r>
        <w:t>h</w:t>
      </w:r>
      <w:r w:rsidR="00A5490F" w:rsidRPr="00A5490F">
        <w:t>äufig</w:t>
      </w:r>
      <w:r w:rsidR="00A5490F">
        <w:br/>
      </w:r>
      <w:r w:rsidR="00A5490F" w:rsidRPr="00A5490F">
        <w:t>Ereignis tritt einmal im Jahr bis einmal pro Monat ein.</w:t>
      </w:r>
    </w:p>
    <w:p w:rsidR="00A5490F" w:rsidRDefault="00EC0343" w:rsidP="00A5490F">
      <w:pPr>
        <w:pStyle w:val="Listenabsatz"/>
        <w:numPr>
          <w:ilvl w:val="0"/>
          <w:numId w:val="10"/>
        </w:numPr>
      </w:pPr>
      <w:r>
        <w:t>s</w:t>
      </w:r>
      <w:r w:rsidR="00A5490F" w:rsidRPr="00A5490F">
        <w:t>ehr häufig</w:t>
      </w:r>
      <w:r w:rsidR="00A5490F">
        <w:br/>
      </w:r>
      <w:r w:rsidR="00A5490F" w:rsidRPr="00A5490F">
        <w:t>Ereignis tritt mehrmals im Monat ein.</w:t>
      </w:r>
    </w:p>
    <w:p w:rsidR="007E2352" w:rsidRDefault="007E2352" w:rsidP="00901C86">
      <w:pPr>
        <w:pStyle w:val="berschrift2"/>
      </w:pPr>
      <w:bookmarkStart w:id="7" w:name="_Toc89949416"/>
      <w:r>
        <w:t>D</w:t>
      </w:r>
      <w:r w:rsidR="00901C86">
        <w:t>efinition</w:t>
      </w:r>
      <w:r>
        <w:t xml:space="preserve"> </w:t>
      </w:r>
      <w:r w:rsidR="00901C86">
        <w:t>der</w:t>
      </w:r>
      <w:r>
        <w:t xml:space="preserve"> Risik</w:t>
      </w:r>
      <w:r w:rsidR="00901C86">
        <w:t>okategorien</w:t>
      </w:r>
      <w:bookmarkEnd w:id="7"/>
    </w:p>
    <w:p w:rsidR="007E2352" w:rsidRDefault="007E2352" w:rsidP="007E2352">
      <w:pPr>
        <w:pStyle w:val="Listenabsatz"/>
        <w:numPr>
          <w:ilvl w:val="0"/>
          <w:numId w:val="11"/>
        </w:numPr>
      </w:pPr>
      <w:r>
        <w:t>gering</w:t>
      </w:r>
      <w:r>
        <w:br/>
      </w:r>
      <w:r w:rsidRPr="00254689">
        <w:t>Die bereits umgesetzten oder zumindest im Sicherheitskonzept vorgesehenen Sicherheitsmaßnahmen bie</w:t>
      </w:r>
      <w:r w:rsidR="003800C8">
        <w:t>ten einen ausreichenden Schutz.</w:t>
      </w:r>
    </w:p>
    <w:p w:rsidR="007E2352" w:rsidRDefault="007E2352" w:rsidP="007E2352">
      <w:pPr>
        <w:pStyle w:val="Listenabsatz"/>
        <w:numPr>
          <w:ilvl w:val="0"/>
          <w:numId w:val="11"/>
        </w:numPr>
      </w:pPr>
      <w:r>
        <w:t>mittel</w:t>
      </w:r>
      <w:r>
        <w:br/>
      </w:r>
      <w:r w:rsidRPr="00254689">
        <w:t>Die bereits umgesetzten oder zumindest im Sicherheitskonzept vorgesehenen Sicherheitsmaßnahmen reichen möglicherweise nicht aus.</w:t>
      </w:r>
    </w:p>
    <w:p w:rsidR="007E2352" w:rsidRDefault="007E2352" w:rsidP="007E2352">
      <w:pPr>
        <w:pStyle w:val="Listenabsatz"/>
        <w:numPr>
          <w:ilvl w:val="0"/>
          <w:numId w:val="11"/>
        </w:numPr>
      </w:pPr>
      <w:r>
        <w:t>hoch</w:t>
      </w:r>
      <w:r>
        <w:br/>
      </w:r>
      <w:r w:rsidRPr="00254689">
        <w:t>Die bereits umgesetzten oder zumindest im Sicherheitskonzept vorgesehenen Sicherheitsmaßnahmen bieten keinen ausreichenden Schutz vor der jeweiligen Gefährdung.</w:t>
      </w:r>
    </w:p>
    <w:p w:rsidR="007E2352" w:rsidRDefault="007E2352" w:rsidP="007E2352">
      <w:pPr>
        <w:pStyle w:val="Listenabsatz"/>
        <w:numPr>
          <w:ilvl w:val="0"/>
          <w:numId w:val="11"/>
        </w:numPr>
      </w:pPr>
      <w:r>
        <w:lastRenderedPageBreak/>
        <w:t>sehr hoch</w:t>
      </w:r>
      <w:r>
        <w:br/>
      </w:r>
      <w:r w:rsidRPr="00254689">
        <w:t>Die bereits umgesetzten oder zumindest im Sicherheitskonzept vorgesehenen Sicherheitsmaßnahmen bieten keinen ausreichenden Schutz vor der jeweiligen Gefährdung</w:t>
      </w:r>
      <w:r w:rsidR="003800C8">
        <w:t>.</w:t>
      </w:r>
    </w:p>
    <w:p w:rsidR="00254689" w:rsidRDefault="00254689" w:rsidP="00964F96">
      <w:pPr>
        <w:pStyle w:val="berschrift2"/>
      </w:pPr>
      <w:bookmarkStart w:id="8" w:name="_Toc89949417"/>
      <w:r>
        <w:t>Risiko</w:t>
      </w:r>
      <w:r w:rsidR="00901C86">
        <w:t>einschätzung / - Bewertung</w:t>
      </w:r>
      <w:bookmarkEnd w:id="8"/>
    </w:p>
    <w:p w:rsidR="00296EC0" w:rsidRDefault="00296EC0" w:rsidP="001C76E6">
      <w:r>
        <w:t>Die jeweiligen Experten eines Zielobjektes (z.B. Fach- / IT-Verantwortliche</w:t>
      </w:r>
      <w:r w:rsidR="00DB47C4">
        <w:t>, Anwendungsbetreuer</w:t>
      </w:r>
      <w:r>
        <w:t xml:space="preserve">, </w:t>
      </w:r>
      <w:proofErr w:type="spellStart"/>
      <w:r>
        <w:t>BfIS</w:t>
      </w:r>
      <w:proofErr w:type="spellEnd"/>
      <w:r>
        <w:t>)</w:t>
      </w:r>
      <w:r w:rsidRPr="00296EC0">
        <w:t xml:space="preserve"> </w:t>
      </w:r>
      <w:r>
        <w:t>e</w:t>
      </w:r>
      <w:r w:rsidRPr="00030811">
        <w:t>rmitt</w:t>
      </w:r>
      <w:r>
        <w:t>eln</w:t>
      </w:r>
      <w:r w:rsidRPr="00030811">
        <w:t xml:space="preserve"> </w:t>
      </w:r>
      <w:r>
        <w:t>je Gefährdung die</w:t>
      </w:r>
      <w:r w:rsidRPr="00030811">
        <w:t xml:space="preserve"> Eintrittshäufigkeit und Schadenshöhe</w:t>
      </w:r>
      <w:r>
        <w:t>.</w:t>
      </w:r>
    </w:p>
    <w:p w:rsidR="005B301C" w:rsidRDefault="00296EC0" w:rsidP="001C76E6">
      <w:r>
        <w:t>Die entsprechende Risikokategorie ergibt sich aus folgender Matrix.</w:t>
      </w:r>
    </w:p>
    <w:p w:rsidR="001C76E6" w:rsidRDefault="001C76E6" w:rsidP="001C76E6"/>
    <w:tbl>
      <w:tblPr>
        <w:tblStyle w:val="Tabellen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63"/>
        <w:gridCol w:w="1726"/>
        <w:gridCol w:w="992"/>
        <w:gridCol w:w="992"/>
        <w:gridCol w:w="992"/>
        <w:gridCol w:w="993"/>
      </w:tblGrid>
      <w:tr w:rsidR="005B301C" w:rsidTr="00D145C9">
        <w:trPr>
          <w:trHeight w:val="803"/>
          <w:jc w:val="center"/>
        </w:trPr>
        <w:tc>
          <w:tcPr>
            <w:tcW w:w="963" w:type="dxa"/>
            <w:vMerge w:val="restart"/>
            <w:textDirection w:val="btLr"/>
            <w:vAlign w:val="center"/>
          </w:tcPr>
          <w:p w:rsidR="005B301C" w:rsidRPr="00CB116C" w:rsidRDefault="005B301C" w:rsidP="00BF3BF2">
            <w:pPr>
              <w:ind w:left="113" w:right="113"/>
              <w:jc w:val="center"/>
              <w:rPr>
                <w:b/>
              </w:rPr>
            </w:pPr>
            <w:r w:rsidRPr="00CB116C">
              <w:rPr>
                <w:b/>
              </w:rPr>
              <w:t>Auswirkung</w:t>
            </w:r>
          </w:p>
        </w:tc>
        <w:tc>
          <w:tcPr>
            <w:tcW w:w="1726" w:type="dxa"/>
            <w:vAlign w:val="center"/>
          </w:tcPr>
          <w:p w:rsidR="005B301C" w:rsidRDefault="00EC0343" w:rsidP="00BF3BF2">
            <w:pPr>
              <w:jc w:val="center"/>
            </w:pPr>
            <w:r>
              <w:t>e</w:t>
            </w:r>
            <w:r w:rsidR="005B301C">
              <w:t>xistenzbedrohend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5B301C" w:rsidRDefault="00EC0343" w:rsidP="00BF3BF2">
            <w:pPr>
              <w:jc w:val="center"/>
            </w:pPr>
            <w:r>
              <w:t>m</w:t>
            </w:r>
            <w:r w:rsidR="00986DF9">
              <w:t>ittel</w:t>
            </w: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:rsidR="005B301C" w:rsidRDefault="00EC0343" w:rsidP="00BF3BF2">
            <w:pPr>
              <w:jc w:val="center"/>
            </w:pPr>
            <w:r>
              <w:t>h</w:t>
            </w:r>
            <w:r w:rsidR="00986DF9">
              <w:t>och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5B301C" w:rsidRDefault="00EC0343" w:rsidP="00BF3BF2">
            <w:pPr>
              <w:jc w:val="center"/>
            </w:pPr>
            <w:r>
              <w:t>s</w:t>
            </w:r>
            <w:r w:rsidR="00986DF9">
              <w:t>ehr hoch</w:t>
            </w:r>
          </w:p>
        </w:tc>
        <w:tc>
          <w:tcPr>
            <w:tcW w:w="993" w:type="dxa"/>
            <w:shd w:val="clear" w:color="auto" w:fill="FF0000"/>
            <w:vAlign w:val="center"/>
          </w:tcPr>
          <w:p w:rsidR="005B301C" w:rsidRDefault="00EC0343" w:rsidP="00BF3BF2">
            <w:pPr>
              <w:jc w:val="center"/>
            </w:pPr>
            <w:r>
              <w:t>s</w:t>
            </w:r>
            <w:r w:rsidR="00986DF9">
              <w:t>ehr hoch</w:t>
            </w:r>
          </w:p>
        </w:tc>
      </w:tr>
      <w:tr w:rsidR="005B301C" w:rsidTr="00D145C9">
        <w:trPr>
          <w:trHeight w:val="701"/>
          <w:jc w:val="center"/>
        </w:trPr>
        <w:tc>
          <w:tcPr>
            <w:tcW w:w="963" w:type="dxa"/>
            <w:vMerge/>
          </w:tcPr>
          <w:p w:rsidR="005B301C" w:rsidRDefault="005B301C" w:rsidP="001C76E6"/>
        </w:tc>
        <w:tc>
          <w:tcPr>
            <w:tcW w:w="1726" w:type="dxa"/>
            <w:vAlign w:val="center"/>
          </w:tcPr>
          <w:p w:rsidR="005B301C" w:rsidRDefault="00EC0343" w:rsidP="00BF3BF2">
            <w:pPr>
              <w:jc w:val="center"/>
            </w:pPr>
            <w:r>
              <w:t>b</w:t>
            </w:r>
            <w:r w:rsidR="005B301C">
              <w:t>eträchtlich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5B301C" w:rsidRDefault="00EC0343" w:rsidP="00BF3BF2">
            <w:pPr>
              <w:jc w:val="center"/>
            </w:pPr>
            <w:r>
              <w:t>m</w:t>
            </w:r>
            <w:r w:rsidR="00986DF9">
              <w:t>ittel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5B301C" w:rsidRDefault="00EC0343" w:rsidP="00BF3BF2">
            <w:pPr>
              <w:jc w:val="center"/>
            </w:pPr>
            <w:r>
              <w:t>m</w:t>
            </w:r>
            <w:r w:rsidR="00986DF9">
              <w:t>ittel</w:t>
            </w: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:rsidR="005B301C" w:rsidRDefault="00EC0343" w:rsidP="00BF3BF2">
            <w:pPr>
              <w:jc w:val="center"/>
            </w:pPr>
            <w:r>
              <w:t>h</w:t>
            </w:r>
            <w:r w:rsidR="00986DF9">
              <w:t>och</w:t>
            </w:r>
          </w:p>
        </w:tc>
        <w:tc>
          <w:tcPr>
            <w:tcW w:w="993" w:type="dxa"/>
            <w:shd w:val="clear" w:color="auto" w:fill="FF0000"/>
            <w:vAlign w:val="center"/>
          </w:tcPr>
          <w:p w:rsidR="005B301C" w:rsidRDefault="00EC0343" w:rsidP="00BF3BF2">
            <w:pPr>
              <w:jc w:val="center"/>
            </w:pPr>
            <w:r>
              <w:t>s</w:t>
            </w:r>
            <w:r w:rsidR="00986DF9">
              <w:t>ehr hoch</w:t>
            </w:r>
          </w:p>
        </w:tc>
      </w:tr>
      <w:tr w:rsidR="005B301C" w:rsidTr="00D145C9">
        <w:trPr>
          <w:trHeight w:val="696"/>
          <w:jc w:val="center"/>
        </w:trPr>
        <w:tc>
          <w:tcPr>
            <w:tcW w:w="963" w:type="dxa"/>
            <w:vMerge/>
          </w:tcPr>
          <w:p w:rsidR="005B301C" w:rsidRDefault="005B301C" w:rsidP="001C76E6"/>
        </w:tc>
        <w:tc>
          <w:tcPr>
            <w:tcW w:w="1726" w:type="dxa"/>
            <w:vAlign w:val="center"/>
          </w:tcPr>
          <w:p w:rsidR="005B301C" w:rsidRDefault="00EC0343" w:rsidP="00BF3BF2">
            <w:pPr>
              <w:jc w:val="center"/>
            </w:pPr>
            <w:r>
              <w:t>b</w:t>
            </w:r>
            <w:r w:rsidR="005B301C">
              <w:t>egrenzt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5B301C" w:rsidRDefault="00EC0343" w:rsidP="00BF3BF2">
            <w:pPr>
              <w:jc w:val="center"/>
            </w:pPr>
            <w:r>
              <w:t>g</w:t>
            </w:r>
            <w:r w:rsidR="00986DF9">
              <w:t>ering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5B301C" w:rsidRDefault="00EC0343" w:rsidP="00BF3BF2">
            <w:pPr>
              <w:jc w:val="center"/>
            </w:pPr>
            <w:r>
              <w:t>m</w:t>
            </w:r>
            <w:r w:rsidR="00986DF9">
              <w:t>ittel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5B301C" w:rsidRDefault="00EC0343" w:rsidP="00BF3BF2">
            <w:pPr>
              <w:jc w:val="center"/>
            </w:pPr>
            <w:r>
              <w:t>m</w:t>
            </w:r>
            <w:r w:rsidR="00986DF9">
              <w:t>ittel</w:t>
            </w:r>
          </w:p>
        </w:tc>
        <w:tc>
          <w:tcPr>
            <w:tcW w:w="993" w:type="dxa"/>
            <w:shd w:val="clear" w:color="auto" w:fill="F4B083" w:themeFill="accent2" w:themeFillTint="99"/>
            <w:vAlign w:val="center"/>
          </w:tcPr>
          <w:p w:rsidR="005B301C" w:rsidRDefault="00EC0343" w:rsidP="00BF3BF2">
            <w:pPr>
              <w:jc w:val="center"/>
            </w:pPr>
            <w:r>
              <w:t>h</w:t>
            </w:r>
            <w:r w:rsidR="00986DF9">
              <w:t>och</w:t>
            </w:r>
          </w:p>
        </w:tc>
      </w:tr>
      <w:tr w:rsidR="005B301C" w:rsidTr="00D145C9">
        <w:trPr>
          <w:jc w:val="center"/>
        </w:trPr>
        <w:tc>
          <w:tcPr>
            <w:tcW w:w="963" w:type="dxa"/>
            <w:vMerge/>
          </w:tcPr>
          <w:p w:rsidR="005B301C" w:rsidRDefault="005B301C" w:rsidP="001C76E6"/>
        </w:tc>
        <w:tc>
          <w:tcPr>
            <w:tcW w:w="1726" w:type="dxa"/>
            <w:vAlign w:val="center"/>
          </w:tcPr>
          <w:p w:rsidR="005B301C" w:rsidRDefault="00EC0343" w:rsidP="00BF3BF2">
            <w:pPr>
              <w:jc w:val="center"/>
            </w:pPr>
            <w:r>
              <w:t>v</w:t>
            </w:r>
            <w:r w:rsidR="005B301C">
              <w:t>ernachlässigbar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5B301C" w:rsidRDefault="00EC0343" w:rsidP="00BF3BF2">
            <w:pPr>
              <w:jc w:val="center"/>
            </w:pPr>
            <w:r>
              <w:t>g</w:t>
            </w:r>
            <w:r w:rsidR="00986DF9">
              <w:t>ering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5B301C" w:rsidRDefault="00986DF9" w:rsidP="00BF3BF2">
            <w:pPr>
              <w:jc w:val="center"/>
            </w:pPr>
            <w:r>
              <w:t>gering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5B301C" w:rsidRDefault="00EC0343" w:rsidP="00BF3BF2">
            <w:pPr>
              <w:jc w:val="center"/>
            </w:pPr>
            <w:r>
              <w:t>m</w:t>
            </w:r>
            <w:r w:rsidR="00986DF9">
              <w:t>ittel</w:t>
            </w:r>
          </w:p>
        </w:tc>
        <w:tc>
          <w:tcPr>
            <w:tcW w:w="993" w:type="dxa"/>
            <w:shd w:val="clear" w:color="auto" w:fill="FFF2CC" w:themeFill="accent4" w:themeFillTint="33"/>
            <w:vAlign w:val="center"/>
          </w:tcPr>
          <w:p w:rsidR="005B301C" w:rsidRDefault="00EC0343" w:rsidP="00BF3BF2">
            <w:pPr>
              <w:jc w:val="center"/>
            </w:pPr>
            <w:r>
              <w:t>m</w:t>
            </w:r>
            <w:r w:rsidR="00986DF9">
              <w:t>ittel</w:t>
            </w:r>
          </w:p>
        </w:tc>
      </w:tr>
      <w:tr w:rsidR="005B301C" w:rsidTr="00D145C9">
        <w:trPr>
          <w:jc w:val="center"/>
        </w:trPr>
        <w:tc>
          <w:tcPr>
            <w:tcW w:w="963" w:type="dxa"/>
            <w:vMerge/>
          </w:tcPr>
          <w:p w:rsidR="005B301C" w:rsidRDefault="005B301C" w:rsidP="001C76E6"/>
        </w:tc>
        <w:tc>
          <w:tcPr>
            <w:tcW w:w="1726" w:type="dxa"/>
            <w:vAlign w:val="center"/>
          </w:tcPr>
          <w:p w:rsidR="005B301C" w:rsidRDefault="005B301C" w:rsidP="00BF3BF2">
            <w:pPr>
              <w:jc w:val="center"/>
            </w:pPr>
          </w:p>
        </w:tc>
        <w:tc>
          <w:tcPr>
            <w:tcW w:w="992" w:type="dxa"/>
            <w:vAlign w:val="center"/>
          </w:tcPr>
          <w:p w:rsidR="005B301C" w:rsidRDefault="00EC0343" w:rsidP="00BF3BF2">
            <w:pPr>
              <w:jc w:val="center"/>
            </w:pPr>
            <w:r>
              <w:t>s</w:t>
            </w:r>
            <w:r w:rsidR="005B301C">
              <w:t>elten</w:t>
            </w:r>
          </w:p>
        </w:tc>
        <w:tc>
          <w:tcPr>
            <w:tcW w:w="992" w:type="dxa"/>
            <w:vAlign w:val="center"/>
          </w:tcPr>
          <w:p w:rsidR="005B301C" w:rsidRDefault="00EC0343" w:rsidP="00BF3BF2">
            <w:pPr>
              <w:jc w:val="center"/>
            </w:pPr>
            <w:r>
              <w:t>m</w:t>
            </w:r>
            <w:r w:rsidR="005B301C">
              <w:t>ittel</w:t>
            </w:r>
          </w:p>
        </w:tc>
        <w:tc>
          <w:tcPr>
            <w:tcW w:w="992" w:type="dxa"/>
            <w:vAlign w:val="center"/>
          </w:tcPr>
          <w:p w:rsidR="005B301C" w:rsidRDefault="00EC0343" w:rsidP="00BF3BF2">
            <w:pPr>
              <w:jc w:val="center"/>
            </w:pPr>
            <w:r>
              <w:t>h</w:t>
            </w:r>
            <w:r w:rsidR="005B301C">
              <w:t>äufig</w:t>
            </w:r>
          </w:p>
        </w:tc>
        <w:tc>
          <w:tcPr>
            <w:tcW w:w="993" w:type="dxa"/>
            <w:vAlign w:val="center"/>
          </w:tcPr>
          <w:p w:rsidR="005B301C" w:rsidRDefault="00EC0343" w:rsidP="00BF3BF2">
            <w:pPr>
              <w:jc w:val="center"/>
            </w:pPr>
            <w:r>
              <w:t>s</w:t>
            </w:r>
            <w:r w:rsidR="005B301C">
              <w:t>ehr häufig</w:t>
            </w:r>
          </w:p>
        </w:tc>
      </w:tr>
      <w:tr w:rsidR="005B301C" w:rsidTr="00D145C9">
        <w:trPr>
          <w:trHeight w:val="613"/>
          <w:jc w:val="center"/>
        </w:trPr>
        <w:tc>
          <w:tcPr>
            <w:tcW w:w="963" w:type="dxa"/>
          </w:tcPr>
          <w:p w:rsidR="005B301C" w:rsidRDefault="005B301C" w:rsidP="001C76E6"/>
        </w:tc>
        <w:tc>
          <w:tcPr>
            <w:tcW w:w="5695" w:type="dxa"/>
            <w:gridSpan w:val="5"/>
            <w:vAlign w:val="center"/>
          </w:tcPr>
          <w:p w:rsidR="005B301C" w:rsidRPr="00CB116C" w:rsidRDefault="005B301C" w:rsidP="00BF3BF2">
            <w:pPr>
              <w:jc w:val="center"/>
              <w:rPr>
                <w:b/>
              </w:rPr>
            </w:pPr>
            <w:r w:rsidRPr="00CB116C">
              <w:rPr>
                <w:b/>
              </w:rPr>
              <w:t>Eintrittshäufigkeit</w:t>
            </w:r>
          </w:p>
        </w:tc>
      </w:tr>
    </w:tbl>
    <w:p w:rsidR="005B301C" w:rsidRPr="001C76E6" w:rsidRDefault="005B301C" w:rsidP="001C76E6"/>
    <w:p w:rsidR="00D3517D" w:rsidRDefault="007E2352" w:rsidP="00D3517D">
      <w:pPr>
        <w:pStyle w:val="berschrift1"/>
      </w:pPr>
      <w:bookmarkStart w:id="9" w:name="_Toc89949418"/>
      <w:r>
        <w:t>Risikob</w:t>
      </w:r>
      <w:r w:rsidR="00D3517D">
        <w:t>ehandlung</w:t>
      </w:r>
      <w:bookmarkEnd w:id="9"/>
    </w:p>
    <w:p w:rsidR="004308D6" w:rsidRDefault="004308D6" w:rsidP="004308D6">
      <w:r>
        <w:t>Zur Behandlung von Risiken bestehen folgende Möglichkeiten.</w:t>
      </w:r>
    </w:p>
    <w:p w:rsidR="00D3517D" w:rsidRDefault="00D3517D" w:rsidP="00D3517D">
      <w:pPr>
        <w:pStyle w:val="berschrift2"/>
      </w:pPr>
      <w:bookmarkStart w:id="10" w:name="_Toc89949419"/>
      <w:r>
        <w:t>Vermeidung</w:t>
      </w:r>
      <w:bookmarkEnd w:id="10"/>
    </w:p>
    <w:p w:rsidR="004308D6" w:rsidRPr="004308D6" w:rsidRDefault="004308D6" w:rsidP="004308D6">
      <w:r>
        <w:t>Das Risiko wird vermieden, in</w:t>
      </w:r>
      <w:r w:rsidRPr="004308D6">
        <w:t xml:space="preserve">dem beispielsweise die Risikoursache </w:t>
      </w:r>
      <w:r w:rsidR="0064543E">
        <w:t xml:space="preserve">durch die Umgestaltung eines Geschäftsprozesses </w:t>
      </w:r>
      <w:r w:rsidRPr="004308D6">
        <w:t>ausgeschlossen wird</w:t>
      </w:r>
      <w:r>
        <w:t>.</w:t>
      </w:r>
    </w:p>
    <w:p w:rsidR="00D3517D" w:rsidRDefault="00D3517D" w:rsidP="00D3517D">
      <w:pPr>
        <w:pStyle w:val="berschrift2"/>
      </w:pPr>
      <w:bookmarkStart w:id="11" w:name="_Toc89949420"/>
      <w:r>
        <w:t>Reduktion</w:t>
      </w:r>
      <w:bookmarkEnd w:id="11"/>
    </w:p>
    <w:p w:rsidR="00303C1C" w:rsidRDefault="00303C1C" w:rsidP="00303C1C">
      <w:r>
        <w:t xml:space="preserve">Das Risiko wird reduziert, </w:t>
      </w:r>
      <w:r w:rsidR="009C68ED">
        <w:t>indem  die  Rahmenbedingungen,  die  zur  Risikoeinstufung b</w:t>
      </w:r>
      <w:r w:rsidR="00942983">
        <w:t xml:space="preserve">eigetragen  haben, modifiziert </w:t>
      </w:r>
      <w:r w:rsidR="009C68ED">
        <w:t>werden</w:t>
      </w:r>
      <w:r>
        <w:t>. In Frage kommt z.B.</w:t>
      </w:r>
      <w:r w:rsidR="009C68ED" w:rsidRPr="009C68ED">
        <w:t xml:space="preserve"> </w:t>
      </w:r>
      <w:r>
        <w:t xml:space="preserve">die Erarbeitung und Umsetzung von </w:t>
      </w:r>
      <w:r w:rsidR="009C68ED">
        <w:t>ergänzende</w:t>
      </w:r>
      <w:r>
        <w:t>n</w:t>
      </w:r>
      <w:r w:rsidR="009C68ED">
        <w:t xml:space="preserve">  Sicherheitsmaßnahmen, die der Gefährdung entgegenwirken</w:t>
      </w:r>
      <w:r>
        <w:t>.</w:t>
      </w:r>
    </w:p>
    <w:p w:rsidR="00D3517D" w:rsidRDefault="00D3517D" w:rsidP="00303C1C">
      <w:pPr>
        <w:pStyle w:val="berschrift2"/>
      </w:pPr>
      <w:bookmarkStart w:id="12" w:name="_Toc89949421"/>
      <w:r>
        <w:t>Transfer</w:t>
      </w:r>
      <w:bookmarkEnd w:id="12"/>
    </w:p>
    <w:p w:rsidR="009C68ED" w:rsidRPr="009C68ED" w:rsidRDefault="00303C1C" w:rsidP="009C68ED">
      <w:r>
        <w:t>Das Risiko wird transferiert, i</w:t>
      </w:r>
      <w:r w:rsidR="009C68ED" w:rsidRPr="009C68ED">
        <w:t>ndem  die  Risiken  mit  and</w:t>
      </w:r>
      <w:r>
        <w:t xml:space="preserve">eren  Parteien  geteilt  werden. Dazu können </w:t>
      </w:r>
      <w:r w:rsidR="009C68ED">
        <w:t xml:space="preserve">Versicherungen </w:t>
      </w:r>
      <w:r>
        <w:t xml:space="preserve">abgeschlossen werden oder </w:t>
      </w:r>
      <w:r w:rsidR="009C68ED">
        <w:t>Dienstleist</w:t>
      </w:r>
      <w:r>
        <w:t>ungen ausgelagert werden.</w:t>
      </w:r>
    </w:p>
    <w:p w:rsidR="00D3517D" w:rsidRPr="00D3517D" w:rsidRDefault="00D3517D" w:rsidP="00D3517D">
      <w:pPr>
        <w:pStyle w:val="berschrift2"/>
      </w:pPr>
      <w:bookmarkStart w:id="13" w:name="_Toc89949422"/>
      <w:r>
        <w:lastRenderedPageBreak/>
        <w:t>Akzeptanz</w:t>
      </w:r>
      <w:bookmarkEnd w:id="13"/>
    </w:p>
    <w:p w:rsidR="007E2352" w:rsidRDefault="007E2352" w:rsidP="007E2352">
      <w:r>
        <w:t xml:space="preserve">Hohe und sehr hohe Risiken werden nicht akzeptiert. Sie sind durch eine entsprechende Behandlung auf ein akzeptiertes Maß zu reduzieren.  </w:t>
      </w:r>
    </w:p>
    <w:p w:rsidR="007E2352" w:rsidRDefault="007E2352" w:rsidP="007E2352">
      <w:r>
        <w:t>Bei mittleren Risiken wird eine Behandlung mit begrenzten Ressourcen durchgeführt. Verbleibende Restrisiken werden akzeptiert, müssen jedoch beobachtet und bei Änderungen neu bewertet werden. Behandelnde Maßnahmen werden vorbereitet.</w:t>
      </w:r>
    </w:p>
    <w:p w:rsidR="007E2352" w:rsidRDefault="007E2352" w:rsidP="007E2352">
      <w:r>
        <w:t>Geringe Risiken werden ohne Behandlung akzeptiert.</w:t>
      </w:r>
    </w:p>
    <w:p w:rsidR="00A44C9B" w:rsidRDefault="00A44C9B" w:rsidP="0082717C">
      <w:r>
        <w:t xml:space="preserve">Folgende Ergebnisse der Risikoanalyse werden vom </w:t>
      </w:r>
      <w:proofErr w:type="spellStart"/>
      <w:r>
        <w:t>BfIS</w:t>
      </w:r>
      <w:proofErr w:type="spellEnd"/>
      <w:r>
        <w:t xml:space="preserve"> der Leitung der </w:t>
      </w:r>
      <w:r w:rsidR="00A930C1">
        <w:t>###NAME DER ORGANISATION###</w:t>
      </w:r>
      <w:r w:rsidR="00A930C1" w:rsidRPr="00030811">
        <w:t xml:space="preserve"> </w:t>
      </w:r>
      <w:r>
        <w:t>vorgelegt:</w:t>
      </w:r>
    </w:p>
    <w:p w:rsidR="00A44C9B" w:rsidRDefault="00A44C9B" w:rsidP="00A44C9B">
      <w:pPr>
        <w:pStyle w:val="Listenabsatz"/>
        <w:numPr>
          <w:ilvl w:val="0"/>
          <w:numId w:val="16"/>
        </w:numPr>
      </w:pPr>
      <w:r>
        <w:t>Der Realisierungsplan (Risikobehandlungsplan), auf Grundlage dessen die Leitung die Maßnahmen zur Behandlung der Risiken initiiert.</w:t>
      </w:r>
    </w:p>
    <w:p w:rsidR="00B04EA1" w:rsidRDefault="00A44C9B" w:rsidP="00A44C9B">
      <w:pPr>
        <w:pStyle w:val="Listenabsatz"/>
        <w:numPr>
          <w:ilvl w:val="0"/>
          <w:numId w:val="16"/>
        </w:numPr>
      </w:pPr>
      <w:r>
        <w:t xml:space="preserve">Eine Aufstellung der verbleibenden </w:t>
      </w:r>
      <w:r w:rsidR="009C68ED" w:rsidRPr="009C68ED">
        <w:t>Restrisik</w:t>
      </w:r>
      <w:r>
        <w:t>en, deren Akzeptanz durch die Leitung mit</w:t>
      </w:r>
      <w:r w:rsidR="00942983">
        <w:t>tels</w:t>
      </w:r>
      <w:r>
        <w:t xml:space="preserve"> Unterschrift bestätigt wird.</w:t>
      </w:r>
    </w:p>
    <w:p w:rsidR="000F3F60" w:rsidRPr="000F3F60" w:rsidRDefault="000F3F60" w:rsidP="000F3F60">
      <w:pPr>
        <w:pStyle w:val="berschrift1"/>
      </w:pPr>
      <w:bookmarkStart w:id="14" w:name="_Toc89949423"/>
      <w:r w:rsidRPr="000F3F60">
        <w:t>Revision und Fortschreibung</w:t>
      </w:r>
      <w:bookmarkEnd w:id="14"/>
    </w:p>
    <w:p w:rsidR="000F3F60" w:rsidRDefault="000F3F60" w:rsidP="000F3F60">
      <w:r>
        <w:t xml:space="preserve">Durch eine </w:t>
      </w:r>
      <w:r w:rsidR="005E5BE2">
        <w:t xml:space="preserve">regelmäßige </w:t>
      </w:r>
      <w:r>
        <w:t xml:space="preserve">Revision der Regelungen zur </w:t>
      </w:r>
      <w:r w:rsidR="005E5BE2">
        <w:t>Informationss</w:t>
      </w:r>
      <w:r>
        <w:t xml:space="preserve">icherheit und deren </w:t>
      </w:r>
      <w:r w:rsidR="004F2FCC">
        <w:t>Anwendung</w:t>
      </w:r>
      <w:r w:rsidR="00D41529">
        <w:t xml:space="preserve"> </w:t>
      </w:r>
      <w:r>
        <w:t xml:space="preserve">wird </w:t>
      </w:r>
      <w:r w:rsidR="00D41529">
        <w:t>die Informationss</w:t>
      </w:r>
      <w:r>
        <w:t>icherheit</w:t>
      </w:r>
      <w:r w:rsidR="00D41529">
        <w:t xml:space="preserve"> der </w:t>
      </w:r>
      <w:r w:rsidR="00A930C1">
        <w:t>###NAME DER ORGANISATION###</w:t>
      </w:r>
      <w:r w:rsidR="00A930C1" w:rsidRPr="00030811">
        <w:t xml:space="preserve"> </w:t>
      </w:r>
      <w:r w:rsidR="00D41529">
        <w:t>kontinuierlich sich ändernden Bedingungen angepasst und verbessert</w:t>
      </w:r>
      <w:r>
        <w:t>.</w:t>
      </w:r>
    </w:p>
    <w:p w:rsidR="000F3F60" w:rsidRDefault="000F3F60" w:rsidP="000F3F60">
      <w:r>
        <w:t xml:space="preserve">Diese </w:t>
      </w:r>
      <w:r w:rsidR="008B5F0C">
        <w:t>Richt</w:t>
      </w:r>
      <w:r>
        <w:t xml:space="preserve">linie </w:t>
      </w:r>
      <w:r w:rsidR="00D71F8C">
        <w:t>ist</w:t>
      </w:r>
      <w:r>
        <w:t xml:space="preserve"> mindestens jährlich auf Aktualität zu prüfen und gegebenenfalls anzupassen. Dafür ist der </w:t>
      </w:r>
      <w:r w:rsidR="0086611A">
        <w:t>Beauftragt</w:t>
      </w:r>
      <w:r w:rsidR="002F6344">
        <w:t>e</w:t>
      </w:r>
      <w:r w:rsidR="0086611A">
        <w:t xml:space="preserve"> für Informationssicherheit</w:t>
      </w:r>
      <w:r w:rsidR="00942983">
        <w:t xml:space="preserve"> -</w:t>
      </w:r>
      <w:r>
        <w:t xml:space="preserve"> in Zusammenarbeit mit dem I</w:t>
      </w:r>
      <w:r w:rsidR="0086611A">
        <w:t>S</w:t>
      </w:r>
      <w:r>
        <w:t xml:space="preserve"> – </w:t>
      </w:r>
      <w:r w:rsidR="00942983">
        <w:t>Sicherheits</w:t>
      </w:r>
      <w:r w:rsidR="0086611A">
        <w:t xml:space="preserve">team </w:t>
      </w:r>
      <w:r w:rsidR="00942983">
        <w:t xml:space="preserve">- </w:t>
      </w:r>
      <w:r w:rsidR="002E794C">
        <w:t>zuständig</w:t>
      </w:r>
      <w:r w:rsidR="009069CF">
        <w:t>.</w:t>
      </w:r>
    </w:p>
    <w:p w:rsidR="000F3F60" w:rsidRPr="000F3F60" w:rsidRDefault="000F3F60" w:rsidP="000F3F60">
      <w:pPr>
        <w:pStyle w:val="berschrift1"/>
      </w:pPr>
      <w:bookmarkStart w:id="15" w:name="_Toc89949424"/>
      <w:r w:rsidRPr="000F3F60">
        <w:t>Inkrafttreten</w:t>
      </w:r>
      <w:bookmarkEnd w:id="15"/>
    </w:p>
    <w:p w:rsidR="000F3F60" w:rsidRDefault="000F3F60" w:rsidP="000F3F60">
      <w:r>
        <w:t xml:space="preserve">Diese </w:t>
      </w:r>
      <w:r w:rsidR="008B5F0C" w:rsidRPr="008B5F0C">
        <w:t>Richtlinie zur Risikoanalyse</w:t>
      </w:r>
      <w:r w:rsidR="008B5F0C">
        <w:t xml:space="preserve"> </w:t>
      </w:r>
      <w:r>
        <w:t xml:space="preserve">der </w:t>
      </w:r>
      <w:r w:rsidR="00A930C1">
        <w:t>###NAME DER ORGANISATION###</w:t>
      </w:r>
      <w:r w:rsidR="00A930C1" w:rsidRPr="00030811">
        <w:t xml:space="preserve"> </w:t>
      </w:r>
      <w:r>
        <w:t>tritt mit Unterzeichnung in Kraft und setzt vorhergehende Versionen außer Kraft.</w:t>
      </w:r>
    </w:p>
    <w:p w:rsidR="000F3F60" w:rsidRDefault="000F3F60" w:rsidP="000F3F60"/>
    <w:p w:rsidR="000F3F60" w:rsidRDefault="00765D5E" w:rsidP="00883905">
      <w:r>
        <w:t>###ORT###</w:t>
      </w:r>
      <w:r w:rsidR="000F3F60">
        <w:t xml:space="preserve">, </w:t>
      </w:r>
      <w:proofErr w:type="spellStart"/>
      <w:r w:rsidR="000F3F60">
        <w:t>den</w:t>
      </w:r>
      <w:proofErr w:type="spellEnd"/>
      <w:r w:rsidR="000F3F60">
        <w:t xml:space="preserve"> </w:t>
      </w:r>
      <w:r>
        <w:t>###</w:t>
      </w:r>
      <w:r w:rsidR="009649BF" w:rsidRPr="00765D5E">
        <w:rPr>
          <w:caps/>
        </w:rPr>
        <w:t>Datum</w:t>
      </w:r>
      <w:r>
        <w:rPr>
          <w:caps/>
        </w:rPr>
        <w:t>###</w:t>
      </w:r>
      <w:bookmarkStart w:id="16" w:name="_GoBack"/>
      <w:bookmarkEnd w:id="16"/>
    </w:p>
    <w:p w:rsidR="000F3F60" w:rsidRDefault="000F3F60" w:rsidP="000F3F60"/>
    <w:p w:rsidR="000F3F60" w:rsidRDefault="000F3F60" w:rsidP="000F3F60"/>
    <w:p w:rsidR="000F3F60" w:rsidRDefault="000F3F60" w:rsidP="000F3F60"/>
    <w:p w:rsidR="000F3F60" w:rsidRDefault="000F3F60" w:rsidP="000F3F60"/>
    <w:p w:rsidR="000F3F60" w:rsidRDefault="000F3F60" w:rsidP="000F3F60"/>
    <w:p w:rsidR="000F3F60" w:rsidRPr="00A930C1" w:rsidRDefault="00A930C1" w:rsidP="000F3F60">
      <w:pPr>
        <w:rPr>
          <w:caps/>
        </w:rPr>
      </w:pPr>
      <w:r>
        <w:rPr>
          <w:caps/>
        </w:rPr>
        <w:t>###</w:t>
      </w:r>
      <w:r w:rsidR="009649BF" w:rsidRPr="00A930C1">
        <w:rPr>
          <w:caps/>
        </w:rPr>
        <w:t>Name Leitung der Organisation</w:t>
      </w:r>
      <w:r>
        <w:rPr>
          <w:caps/>
        </w:rPr>
        <w:t>###</w:t>
      </w:r>
    </w:p>
    <w:p w:rsidR="000F41D4" w:rsidRPr="00A930C1" w:rsidRDefault="00A930C1" w:rsidP="000F3F60">
      <w:pPr>
        <w:rPr>
          <w:caps/>
        </w:rPr>
      </w:pPr>
      <w:r>
        <w:rPr>
          <w:caps/>
        </w:rPr>
        <w:t>###</w:t>
      </w:r>
      <w:r w:rsidR="009649BF" w:rsidRPr="00A930C1">
        <w:rPr>
          <w:caps/>
        </w:rPr>
        <w:t>Funktion</w:t>
      </w:r>
      <w:r>
        <w:rPr>
          <w:caps/>
        </w:rPr>
        <w:t>###</w:t>
      </w:r>
    </w:p>
    <w:sectPr w:rsidR="000F41D4" w:rsidRPr="00A930C1" w:rsidSect="004B52D3">
      <w:headerReference w:type="even" r:id="rId10"/>
      <w:pgSz w:w="11907" w:h="16840" w:code="9"/>
      <w:pgMar w:top="1418" w:right="1134" w:bottom="1134" w:left="1134" w:header="425" w:footer="2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A55" w:rsidRDefault="00655A55">
      <w:r>
        <w:separator/>
      </w:r>
    </w:p>
  </w:endnote>
  <w:endnote w:type="continuationSeparator" w:id="0">
    <w:p w:rsidR="00655A55" w:rsidRDefault="00655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36" w:type="pct"/>
      <w:jc w:val="right"/>
      <w:tblBorders>
        <w:top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95"/>
      <w:gridCol w:w="1713"/>
    </w:tblGrid>
    <w:tr w:rsidR="008C19D7" w:rsidTr="008A76F9">
      <w:trPr>
        <w:trHeight w:val="508"/>
        <w:jc w:val="right"/>
      </w:trPr>
      <w:tc>
        <w:tcPr>
          <w:tcW w:w="7995" w:type="dxa"/>
          <w:vAlign w:val="center"/>
        </w:tcPr>
        <w:p w:rsidR="008C19D7" w:rsidRDefault="008C19D7" w:rsidP="0012744F">
          <w:pPr>
            <w:spacing w:before="120"/>
          </w:pPr>
        </w:p>
      </w:tc>
      <w:tc>
        <w:tcPr>
          <w:tcW w:w="1713" w:type="dxa"/>
          <w:vAlign w:val="center"/>
        </w:tcPr>
        <w:p w:rsidR="008C19D7" w:rsidRPr="00143523" w:rsidRDefault="008C19D7" w:rsidP="00F80680">
          <w:pPr>
            <w:spacing w:before="120"/>
            <w:jc w:val="right"/>
          </w:pPr>
          <w:r w:rsidRPr="00143523">
            <w:t xml:space="preserve">Seite </w:t>
          </w:r>
          <w:r w:rsidRPr="00143523">
            <w:rPr>
              <w:rStyle w:val="Seitenzahl"/>
            </w:rPr>
            <w:fldChar w:fldCharType="begin"/>
          </w:r>
          <w:r w:rsidRPr="00143523">
            <w:rPr>
              <w:rStyle w:val="Seitenzahl"/>
            </w:rPr>
            <w:instrText xml:space="preserve"> PAGE </w:instrText>
          </w:r>
          <w:r w:rsidRPr="00143523">
            <w:rPr>
              <w:rStyle w:val="Seitenzahl"/>
            </w:rPr>
            <w:fldChar w:fldCharType="separate"/>
          </w:r>
          <w:r w:rsidR="00765D5E">
            <w:rPr>
              <w:rStyle w:val="Seitenzahl"/>
              <w:noProof/>
            </w:rPr>
            <w:t>7</w:t>
          </w:r>
          <w:r w:rsidRPr="00143523">
            <w:rPr>
              <w:rStyle w:val="Seitenzahl"/>
            </w:rPr>
            <w:fldChar w:fldCharType="end"/>
          </w:r>
          <w:r w:rsidRPr="00143523">
            <w:rPr>
              <w:rStyle w:val="Seitenzahl"/>
            </w:rPr>
            <w:t xml:space="preserve"> von </w:t>
          </w:r>
          <w:r w:rsidRPr="00143523">
            <w:rPr>
              <w:rStyle w:val="Seitenzahl"/>
            </w:rPr>
            <w:fldChar w:fldCharType="begin"/>
          </w:r>
          <w:r w:rsidRPr="00143523">
            <w:rPr>
              <w:rStyle w:val="Seitenzahl"/>
            </w:rPr>
            <w:instrText xml:space="preserve"> NUMPAGES </w:instrText>
          </w:r>
          <w:r w:rsidRPr="00143523">
            <w:rPr>
              <w:rStyle w:val="Seitenzahl"/>
            </w:rPr>
            <w:fldChar w:fldCharType="separate"/>
          </w:r>
          <w:r w:rsidR="00765D5E">
            <w:rPr>
              <w:rStyle w:val="Seitenzahl"/>
              <w:noProof/>
            </w:rPr>
            <w:t>7</w:t>
          </w:r>
          <w:r w:rsidRPr="00143523">
            <w:rPr>
              <w:rStyle w:val="Seitenzahl"/>
            </w:rPr>
            <w:fldChar w:fldCharType="end"/>
          </w:r>
        </w:p>
      </w:tc>
    </w:tr>
  </w:tbl>
  <w:p w:rsidR="008C19D7" w:rsidRDefault="008C19D7" w:rsidP="00575EBB">
    <w:pPr>
      <w:pStyle w:val="Fuzeile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9D7" w:rsidRDefault="008C19D7" w:rsidP="00F80680">
    <w:pPr>
      <w:pStyle w:val="Fuzeile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A55" w:rsidRDefault="00655A55">
      <w:r>
        <w:separator/>
      </w:r>
    </w:p>
  </w:footnote>
  <w:footnote w:type="continuationSeparator" w:id="0">
    <w:p w:rsidR="00655A55" w:rsidRDefault="00655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36" w:type="pct"/>
      <w:tblBorders>
        <w:bottom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091"/>
      <w:gridCol w:w="1617"/>
    </w:tblGrid>
    <w:tr w:rsidR="008C19D7" w:rsidRPr="0081427F" w:rsidTr="008A76F9">
      <w:trPr>
        <w:trHeight w:val="736"/>
      </w:trPr>
      <w:tc>
        <w:tcPr>
          <w:tcW w:w="4167" w:type="pct"/>
          <w:vAlign w:val="center"/>
        </w:tcPr>
        <w:p w:rsidR="008C19D7" w:rsidRPr="004128A3" w:rsidRDefault="009649BF" w:rsidP="00F80680">
          <w:pPr>
            <w:pStyle w:val="Kopfzeile"/>
            <w:spacing w:line="240" w:lineRule="auto"/>
          </w:pPr>
          <w:r>
            <w:t xml:space="preserve">Muster: </w:t>
          </w:r>
          <w:r w:rsidR="008B5F0C" w:rsidRPr="008B5F0C">
            <w:t>Richtlinie zur Risikoanalyse</w:t>
          </w:r>
        </w:p>
      </w:tc>
      <w:tc>
        <w:tcPr>
          <w:tcW w:w="833" w:type="pct"/>
        </w:tcPr>
        <w:p w:rsidR="008C19D7" w:rsidRPr="0081427F" w:rsidRDefault="008C19D7" w:rsidP="00F80680">
          <w:pPr>
            <w:pStyle w:val="Kopfzeile"/>
            <w:spacing w:line="240" w:lineRule="auto"/>
            <w:jc w:val="right"/>
          </w:pPr>
        </w:p>
      </w:tc>
    </w:tr>
  </w:tbl>
  <w:p w:rsidR="008C19D7" w:rsidRDefault="008C19D7" w:rsidP="0015798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9D7" w:rsidRDefault="008C19D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31F6C"/>
    <w:multiLevelType w:val="hybridMultilevel"/>
    <w:tmpl w:val="5366F1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6231E"/>
    <w:multiLevelType w:val="hybridMultilevel"/>
    <w:tmpl w:val="026E77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A094B"/>
    <w:multiLevelType w:val="hybridMultilevel"/>
    <w:tmpl w:val="7C4CD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30CC0"/>
    <w:multiLevelType w:val="hybridMultilevel"/>
    <w:tmpl w:val="A24014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B380E"/>
    <w:multiLevelType w:val="hybridMultilevel"/>
    <w:tmpl w:val="4DBEC5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D0C8C"/>
    <w:multiLevelType w:val="hybridMultilevel"/>
    <w:tmpl w:val="2A0C7E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913FC"/>
    <w:multiLevelType w:val="hybridMultilevel"/>
    <w:tmpl w:val="0CCE89BE"/>
    <w:lvl w:ilvl="0" w:tplc="3DA419E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966A2"/>
    <w:multiLevelType w:val="hybridMultilevel"/>
    <w:tmpl w:val="1D9AE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A411B"/>
    <w:multiLevelType w:val="hybridMultilevel"/>
    <w:tmpl w:val="FAE00A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05F28"/>
    <w:multiLevelType w:val="hybridMultilevel"/>
    <w:tmpl w:val="982679E0"/>
    <w:lvl w:ilvl="0" w:tplc="D23E40C2">
      <w:start w:val="1"/>
      <w:numFmt w:val="bullet"/>
      <w:pStyle w:val="Aufzhlungszeichen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47E6D"/>
    <w:multiLevelType w:val="hybridMultilevel"/>
    <w:tmpl w:val="EBA0DA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779C2"/>
    <w:multiLevelType w:val="hybridMultilevel"/>
    <w:tmpl w:val="856CF2CE"/>
    <w:lvl w:ilvl="0" w:tplc="C4EAC7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97BCA"/>
    <w:multiLevelType w:val="multilevel"/>
    <w:tmpl w:val="AFAE188E"/>
    <w:lvl w:ilvl="0">
      <w:start w:val="1"/>
      <w:numFmt w:val="decimal"/>
      <w:pStyle w:val="berschrift1"/>
      <w:lvlText w:val="%1"/>
      <w:lvlJc w:val="left"/>
      <w:pPr>
        <w:tabs>
          <w:tab w:val="num" w:pos="2984"/>
        </w:tabs>
        <w:ind w:left="2984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D7F7539"/>
    <w:multiLevelType w:val="hybridMultilevel"/>
    <w:tmpl w:val="98047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242D9"/>
    <w:multiLevelType w:val="hybridMultilevel"/>
    <w:tmpl w:val="A55C2B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B92AC1"/>
    <w:multiLevelType w:val="hybridMultilevel"/>
    <w:tmpl w:val="E746F5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11"/>
  </w:num>
  <w:num w:numId="9">
    <w:abstractNumId w:val="15"/>
  </w:num>
  <w:num w:numId="10">
    <w:abstractNumId w:val="2"/>
  </w:num>
  <w:num w:numId="11">
    <w:abstractNumId w:val="1"/>
  </w:num>
  <w:num w:numId="12">
    <w:abstractNumId w:val="13"/>
  </w:num>
  <w:num w:numId="13">
    <w:abstractNumId w:val="8"/>
  </w:num>
  <w:num w:numId="14">
    <w:abstractNumId w:val="7"/>
  </w:num>
  <w:num w:numId="15">
    <w:abstractNumId w:val="0"/>
  </w:num>
  <w:num w:numId="16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20"/>
    <w:rsid w:val="00011149"/>
    <w:rsid w:val="000204AC"/>
    <w:rsid w:val="00026EFD"/>
    <w:rsid w:val="00030811"/>
    <w:rsid w:val="00043F14"/>
    <w:rsid w:val="00060892"/>
    <w:rsid w:val="0007465E"/>
    <w:rsid w:val="00074AB8"/>
    <w:rsid w:val="00076F08"/>
    <w:rsid w:val="00095E5A"/>
    <w:rsid w:val="000B5626"/>
    <w:rsid w:val="000B73BB"/>
    <w:rsid w:val="000E1BC1"/>
    <w:rsid w:val="000E5CAF"/>
    <w:rsid w:val="000E7B86"/>
    <w:rsid w:val="000F3F60"/>
    <w:rsid w:val="000F41D4"/>
    <w:rsid w:val="00107642"/>
    <w:rsid w:val="00110704"/>
    <w:rsid w:val="0012744F"/>
    <w:rsid w:val="00135D20"/>
    <w:rsid w:val="00136FA8"/>
    <w:rsid w:val="00137575"/>
    <w:rsid w:val="001449BC"/>
    <w:rsid w:val="00152651"/>
    <w:rsid w:val="00153272"/>
    <w:rsid w:val="00157985"/>
    <w:rsid w:val="001918DA"/>
    <w:rsid w:val="00192BBB"/>
    <w:rsid w:val="001A76AF"/>
    <w:rsid w:val="001C55CC"/>
    <w:rsid w:val="001C76E6"/>
    <w:rsid w:val="001E5C6A"/>
    <w:rsid w:val="001F57A6"/>
    <w:rsid w:val="001F635B"/>
    <w:rsid w:val="00204B95"/>
    <w:rsid w:val="002166B5"/>
    <w:rsid w:val="00223658"/>
    <w:rsid w:val="00231096"/>
    <w:rsid w:val="00241333"/>
    <w:rsid w:val="002532EF"/>
    <w:rsid w:val="00254689"/>
    <w:rsid w:val="00256557"/>
    <w:rsid w:val="00267A2D"/>
    <w:rsid w:val="00296EC0"/>
    <w:rsid w:val="002B1CC6"/>
    <w:rsid w:val="002B7203"/>
    <w:rsid w:val="002D51CF"/>
    <w:rsid w:val="002E352B"/>
    <w:rsid w:val="002E7748"/>
    <w:rsid w:val="002E794C"/>
    <w:rsid w:val="002F6344"/>
    <w:rsid w:val="00302DF0"/>
    <w:rsid w:val="00303C1C"/>
    <w:rsid w:val="00304E31"/>
    <w:rsid w:val="0030707B"/>
    <w:rsid w:val="00307B76"/>
    <w:rsid w:val="003238C8"/>
    <w:rsid w:val="00327580"/>
    <w:rsid w:val="00344B69"/>
    <w:rsid w:val="00360F8A"/>
    <w:rsid w:val="00370A25"/>
    <w:rsid w:val="00370A62"/>
    <w:rsid w:val="003800C8"/>
    <w:rsid w:val="00394B9C"/>
    <w:rsid w:val="003A1436"/>
    <w:rsid w:val="003C5278"/>
    <w:rsid w:val="00402A8E"/>
    <w:rsid w:val="004128A3"/>
    <w:rsid w:val="004220B9"/>
    <w:rsid w:val="00424144"/>
    <w:rsid w:val="00425E50"/>
    <w:rsid w:val="004308D6"/>
    <w:rsid w:val="004330DB"/>
    <w:rsid w:val="004438FB"/>
    <w:rsid w:val="00446210"/>
    <w:rsid w:val="0045339C"/>
    <w:rsid w:val="004710A4"/>
    <w:rsid w:val="00491D7C"/>
    <w:rsid w:val="00496C2E"/>
    <w:rsid w:val="004A2DD1"/>
    <w:rsid w:val="004B52D3"/>
    <w:rsid w:val="004B5BA1"/>
    <w:rsid w:val="004B5FEB"/>
    <w:rsid w:val="004C68EE"/>
    <w:rsid w:val="004E2702"/>
    <w:rsid w:val="004F2FCC"/>
    <w:rsid w:val="00502DEA"/>
    <w:rsid w:val="00507A1A"/>
    <w:rsid w:val="00511E91"/>
    <w:rsid w:val="00554390"/>
    <w:rsid w:val="0056300B"/>
    <w:rsid w:val="00575EBB"/>
    <w:rsid w:val="00580326"/>
    <w:rsid w:val="005A0B7B"/>
    <w:rsid w:val="005B301C"/>
    <w:rsid w:val="005B7C39"/>
    <w:rsid w:val="005C0604"/>
    <w:rsid w:val="005D5BF5"/>
    <w:rsid w:val="005E1388"/>
    <w:rsid w:val="005E52EA"/>
    <w:rsid w:val="005E5BE2"/>
    <w:rsid w:val="00605000"/>
    <w:rsid w:val="0060635C"/>
    <w:rsid w:val="00606E63"/>
    <w:rsid w:val="00610340"/>
    <w:rsid w:val="00631DFF"/>
    <w:rsid w:val="0064543E"/>
    <w:rsid w:val="00645911"/>
    <w:rsid w:val="00655A55"/>
    <w:rsid w:val="00692157"/>
    <w:rsid w:val="006A4419"/>
    <w:rsid w:val="006A72E8"/>
    <w:rsid w:val="006B391F"/>
    <w:rsid w:val="006B49E2"/>
    <w:rsid w:val="006C7ABC"/>
    <w:rsid w:val="006F4E3B"/>
    <w:rsid w:val="00703134"/>
    <w:rsid w:val="007037E0"/>
    <w:rsid w:val="0070529D"/>
    <w:rsid w:val="00712F19"/>
    <w:rsid w:val="00713FA3"/>
    <w:rsid w:val="007205ED"/>
    <w:rsid w:val="00763979"/>
    <w:rsid w:val="00765D5E"/>
    <w:rsid w:val="00766EC3"/>
    <w:rsid w:val="00771DF1"/>
    <w:rsid w:val="00772E56"/>
    <w:rsid w:val="0078088B"/>
    <w:rsid w:val="00786879"/>
    <w:rsid w:val="00792227"/>
    <w:rsid w:val="007A388A"/>
    <w:rsid w:val="007B44EA"/>
    <w:rsid w:val="007D01F6"/>
    <w:rsid w:val="007D6196"/>
    <w:rsid w:val="007E2352"/>
    <w:rsid w:val="007E50AD"/>
    <w:rsid w:val="007F7CEA"/>
    <w:rsid w:val="008061E0"/>
    <w:rsid w:val="00817DE1"/>
    <w:rsid w:val="008205DA"/>
    <w:rsid w:val="00824959"/>
    <w:rsid w:val="00825FA1"/>
    <w:rsid w:val="0082717C"/>
    <w:rsid w:val="008400C5"/>
    <w:rsid w:val="008430A6"/>
    <w:rsid w:val="00863127"/>
    <w:rsid w:val="0086611A"/>
    <w:rsid w:val="00866336"/>
    <w:rsid w:val="00866DA3"/>
    <w:rsid w:val="00883905"/>
    <w:rsid w:val="00886BA2"/>
    <w:rsid w:val="00887E6B"/>
    <w:rsid w:val="008971E7"/>
    <w:rsid w:val="00897B95"/>
    <w:rsid w:val="008A76F9"/>
    <w:rsid w:val="008A7729"/>
    <w:rsid w:val="008B5F0C"/>
    <w:rsid w:val="008C19D7"/>
    <w:rsid w:val="008D5D1E"/>
    <w:rsid w:val="008F7E8D"/>
    <w:rsid w:val="00901C86"/>
    <w:rsid w:val="009069CF"/>
    <w:rsid w:val="00906BAA"/>
    <w:rsid w:val="00923162"/>
    <w:rsid w:val="00930F13"/>
    <w:rsid w:val="00930F98"/>
    <w:rsid w:val="00931CD9"/>
    <w:rsid w:val="00942983"/>
    <w:rsid w:val="00944351"/>
    <w:rsid w:val="009649BF"/>
    <w:rsid w:val="00970420"/>
    <w:rsid w:val="009843AC"/>
    <w:rsid w:val="00986DF9"/>
    <w:rsid w:val="009A45E8"/>
    <w:rsid w:val="009B531D"/>
    <w:rsid w:val="009C25ED"/>
    <w:rsid w:val="009C68ED"/>
    <w:rsid w:val="009C719C"/>
    <w:rsid w:val="009D04A4"/>
    <w:rsid w:val="009D458B"/>
    <w:rsid w:val="009D74EF"/>
    <w:rsid w:val="00A04CBB"/>
    <w:rsid w:val="00A2724E"/>
    <w:rsid w:val="00A335DB"/>
    <w:rsid w:val="00A44C9B"/>
    <w:rsid w:val="00A46C3B"/>
    <w:rsid w:val="00A5490F"/>
    <w:rsid w:val="00A73E1D"/>
    <w:rsid w:val="00A83AB2"/>
    <w:rsid w:val="00A930C1"/>
    <w:rsid w:val="00A95B1C"/>
    <w:rsid w:val="00AA4CAD"/>
    <w:rsid w:val="00AB5176"/>
    <w:rsid w:val="00AC2CF6"/>
    <w:rsid w:val="00AF4BC6"/>
    <w:rsid w:val="00B04EA1"/>
    <w:rsid w:val="00B07CCA"/>
    <w:rsid w:val="00B10A72"/>
    <w:rsid w:val="00B222DF"/>
    <w:rsid w:val="00B45C32"/>
    <w:rsid w:val="00B50975"/>
    <w:rsid w:val="00B60C22"/>
    <w:rsid w:val="00B85270"/>
    <w:rsid w:val="00B90083"/>
    <w:rsid w:val="00BA772E"/>
    <w:rsid w:val="00BB32BC"/>
    <w:rsid w:val="00BE6C54"/>
    <w:rsid w:val="00BE7CBA"/>
    <w:rsid w:val="00BF3BF2"/>
    <w:rsid w:val="00BF7E72"/>
    <w:rsid w:val="00C06506"/>
    <w:rsid w:val="00C15FDF"/>
    <w:rsid w:val="00C3422D"/>
    <w:rsid w:val="00C51CFC"/>
    <w:rsid w:val="00C52446"/>
    <w:rsid w:val="00C5547C"/>
    <w:rsid w:val="00C76898"/>
    <w:rsid w:val="00C86963"/>
    <w:rsid w:val="00C87869"/>
    <w:rsid w:val="00C87959"/>
    <w:rsid w:val="00CA1CD4"/>
    <w:rsid w:val="00CA22D1"/>
    <w:rsid w:val="00CA348A"/>
    <w:rsid w:val="00CB116C"/>
    <w:rsid w:val="00CB7667"/>
    <w:rsid w:val="00CC5AD2"/>
    <w:rsid w:val="00CD1297"/>
    <w:rsid w:val="00CD4B41"/>
    <w:rsid w:val="00CF68C4"/>
    <w:rsid w:val="00D07EE9"/>
    <w:rsid w:val="00D10AB0"/>
    <w:rsid w:val="00D1144E"/>
    <w:rsid w:val="00D142B5"/>
    <w:rsid w:val="00D145C9"/>
    <w:rsid w:val="00D33DA9"/>
    <w:rsid w:val="00D3517D"/>
    <w:rsid w:val="00D41529"/>
    <w:rsid w:val="00D673C4"/>
    <w:rsid w:val="00D71F8C"/>
    <w:rsid w:val="00D7277F"/>
    <w:rsid w:val="00D74984"/>
    <w:rsid w:val="00D842FC"/>
    <w:rsid w:val="00D84EE9"/>
    <w:rsid w:val="00D9245C"/>
    <w:rsid w:val="00DA1467"/>
    <w:rsid w:val="00DB47C4"/>
    <w:rsid w:val="00DB58DC"/>
    <w:rsid w:val="00DB6353"/>
    <w:rsid w:val="00DB7CAA"/>
    <w:rsid w:val="00DC0DB4"/>
    <w:rsid w:val="00DC1F28"/>
    <w:rsid w:val="00DC41B6"/>
    <w:rsid w:val="00DC52F9"/>
    <w:rsid w:val="00DE1E21"/>
    <w:rsid w:val="00DE3912"/>
    <w:rsid w:val="00DE64FD"/>
    <w:rsid w:val="00DE7E25"/>
    <w:rsid w:val="00E05A7F"/>
    <w:rsid w:val="00E31D60"/>
    <w:rsid w:val="00E32D46"/>
    <w:rsid w:val="00E57CE8"/>
    <w:rsid w:val="00E70361"/>
    <w:rsid w:val="00E860FC"/>
    <w:rsid w:val="00E93AD9"/>
    <w:rsid w:val="00EA44D7"/>
    <w:rsid w:val="00EA5BDE"/>
    <w:rsid w:val="00EB2918"/>
    <w:rsid w:val="00EC0343"/>
    <w:rsid w:val="00EC7762"/>
    <w:rsid w:val="00EC7A69"/>
    <w:rsid w:val="00ED304A"/>
    <w:rsid w:val="00ED391B"/>
    <w:rsid w:val="00ED602F"/>
    <w:rsid w:val="00EE63D5"/>
    <w:rsid w:val="00F3532B"/>
    <w:rsid w:val="00F6634A"/>
    <w:rsid w:val="00F66C7B"/>
    <w:rsid w:val="00F80680"/>
    <w:rsid w:val="00F83B3C"/>
    <w:rsid w:val="00F956BA"/>
    <w:rsid w:val="00FA42D4"/>
    <w:rsid w:val="00FA70E6"/>
    <w:rsid w:val="00FB5DE1"/>
    <w:rsid w:val="00FC11C9"/>
    <w:rsid w:val="00FC1BF5"/>
    <w:rsid w:val="00FD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6A087C8-2DD8-40E5-A226-20A1C066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490F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 w:cs="Arial"/>
      <w:sz w:val="24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1F57A6"/>
    <w:pPr>
      <w:keepNext/>
      <w:keepLines/>
      <w:numPr>
        <w:numId w:val="1"/>
      </w:numPr>
      <w:tabs>
        <w:tab w:val="left" w:pos="709"/>
      </w:tabs>
      <w:suppressAutoHyphens/>
      <w:spacing w:before="120"/>
      <w:ind w:left="431" w:hanging="431"/>
      <w:outlineLvl w:val="0"/>
    </w:pPr>
    <w:rPr>
      <w:b/>
      <w:bCs/>
      <w:sz w:val="28"/>
      <w:szCs w:val="36"/>
    </w:rPr>
  </w:style>
  <w:style w:type="paragraph" w:styleId="berschrift2">
    <w:name w:val="heading 2"/>
    <w:basedOn w:val="Standard"/>
    <w:next w:val="Standard"/>
    <w:qFormat/>
    <w:rsid w:val="00CF68C4"/>
    <w:pPr>
      <w:keepNext/>
      <w:keepLines/>
      <w:numPr>
        <w:ilvl w:val="1"/>
        <w:numId w:val="1"/>
      </w:numPr>
      <w:tabs>
        <w:tab w:val="left" w:pos="709"/>
      </w:tabs>
      <w:suppressAutoHyphens/>
      <w:spacing w:before="240" w:after="240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CF68C4"/>
    <w:pPr>
      <w:keepNext/>
      <w:keepLines/>
      <w:numPr>
        <w:ilvl w:val="2"/>
        <w:numId w:val="1"/>
      </w:numPr>
      <w:tabs>
        <w:tab w:val="clear" w:pos="907"/>
        <w:tab w:val="left" w:pos="709"/>
      </w:tabs>
      <w:suppressAutoHyphens/>
      <w:spacing w:before="240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rsid w:val="00A95B1C"/>
    <w:pPr>
      <w:keepNext/>
      <w:keepLines/>
      <w:numPr>
        <w:ilvl w:val="3"/>
        <w:numId w:val="1"/>
      </w:numPr>
      <w:suppressAutoHyphens/>
      <w:spacing w:before="120"/>
      <w:outlineLvl w:val="3"/>
    </w:pPr>
    <w:rPr>
      <w:iCs/>
    </w:rPr>
  </w:style>
  <w:style w:type="paragraph" w:styleId="berschrift5">
    <w:name w:val="heading 5"/>
    <w:basedOn w:val="Standard"/>
    <w:next w:val="Standard"/>
    <w:qFormat/>
    <w:rsid w:val="00A95B1C"/>
    <w:pPr>
      <w:numPr>
        <w:ilvl w:val="4"/>
        <w:numId w:val="1"/>
      </w:numPr>
      <w:spacing w:before="240" w:after="60"/>
      <w:outlineLvl w:val="4"/>
    </w:pPr>
    <w:rPr>
      <w:bCs/>
      <w:i/>
      <w:iCs/>
      <w:szCs w:val="26"/>
    </w:rPr>
  </w:style>
  <w:style w:type="paragraph" w:styleId="berschrift6">
    <w:name w:val="heading 6"/>
    <w:basedOn w:val="Standard"/>
    <w:next w:val="Standard"/>
    <w:qFormat/>
    <w:rsid w:val="00A95B1C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berschrift7">
    <w:name w:val="heading 7"/>
    <w:basedOn w:val="Standard"/>
    <w:next w:val="Standard"/>
    <w:qFormat/>
    <w:rsid w:val="00A95B1C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Cs w:val="24"/>
    </w:rPr>
  </w:style>
  <w:style w:type="paragraph" w:styleId="berschrift8">
    <w:name w:val="heading 8"/>
    <w:basedOn w:val="Standard"/>
    <w:next w:val="Standard"/>
    <w:qFormat/>
    <w:rsid w:val="00A95B1C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Cs w:val="24"/>
    </w:rPr>
  </w:style>
  <w:style w:type="paragraph" w:styleId="berschrift9">
    <w:name w:val="heading 9"/>
    <w:basedOn w:val="Standard"/>
    <w:next w:val="Standard"/>
    <w:qFormat/>
    <w:rsid w:val="00A95B1C"/>
    <w:pPr>
      <w:numPr>
        <w:ilvl w:val="8"/>
        <w:numId w:val="1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lage">
    <w:name w:val="Anlage"/>
    <w:basedOn w:val="Standard"/>
    <w:pPr>
      <w:framePr w:w="3969" w:wrap="around" w:hAnchor="margin" w:xAlign="right" w:yAlign="bottom"/>
      <w:tabs>
        <w:tab w:val="left" w:pos="1134"/>
        <w:tab w:val="left" w:pos="1350"/>
      </w:tabs>
      <w:spacing w:after="0"/>
      <w:ind w:left="1134" w:hanging="1134"/>
    </w:pPr>
  </w:style>
  <w:style w:type="paragraph" w:styleId="Kopfzeile">
    <w:name w:val="header"/>
    <w:basedOn w:val="Standard"/>
    <w:autoRedefine/>
    <w:rsid w:val="00F80680"/>
    <w:pPr>
      <w:keepLines/>
      <w:tabs>
        <w:tab w:val="right" w:pos="10065"/>
        <w:tab w:val="right" w:pos="14742"/>
      </w:tabs>
      <w:spacing w:line="260" w:lineRule="atLeast"/>
    </w:pPr>
  </w:style>
  <w:style w:type="table" w:styleId="Tabellenraster">
    <w:name w:val="Table Grid"/>
    <w:basedOn w:val="NormaleTabelle"/>
    <w:rsid w:val="000E1BC1"/>
    <w:pPr>
      <w:keepLines/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anstrichLetzter">
    <w:name w:val="Unteranstrich Letzter"/>
    <w:basedOn w:val="Standard"/>
    <w:rsid w:val="00CF68C4"/>
    <w:pPr>
      <w:keepLines/>
      <w:tabs>
        <w:tab w:val="left" w:pos="567"/>
      </w:tabs>
      <w:ind w:left="567" w:hanging="283"/>
    </w:pPr>
  </w:style>
  <w:style w:type="paragraph" w:styleId="Aufzhlungszeichen">
    <w:name w:val="List Bullet"/>
    <w:basedOn w:val="Standard"/>
    <w:rsid w:val="00B10A72"/>
    <w:pPr>
      <w:numPr>
        <w:numId w:val="2"/>
      </w:numPr>
      <w:spacing w:after="0"/>
    </w:pPr>
  </w:style>
  <w:style w:type="paragraph" w:styleId="Aufzhlungszeichen2">
    <w:name w:val="List Bullet 2"/>
    <w:basedOn w:val="Standard"/>
    <w:pPr>
      <w:spacing w:after="0"/>
      <w:ind w:left="568" w:hanging="284"/>
    </w:pPr>
  </w:style>
  <w:style w:type="paragraph" w:styleId="Funotentext">
    <w:name w:val="footnote text"/>
    <w:basedOn w:val="Standard"/>
    <w:semiHidden/>
    <w:pPr>
      <w:tabs>
        <w:tab w:val="left" w:pos="142"/>
      </w:tabs>
      <w:ind w:left="142" w:hanging="142"/>
    </w:pPr>
    <w:rPr>
      <w:sz w:val="20"/>
      <w:szCs w:val="20"/>
    </w:rPr>
  </w:style>
  <w:style w:type="paragraph" w:customStyle="1" w:styleId="Tabellenzelle">
    <w:name w:val="Tabellenzelle"/>
    <w:basedOn w:val="Standard"/>
    <w:pPr>
      <w:spacing w:before="40" w:after="40"/>
    </w:pPr>
  </w:style>
  <w:style w:type="paragraph" w:styleId="Fuzeile">
    <w:name w:val="footer"/>
    <w:basedOn w:val="Standard"/>
    <w:autoRedefine/>
    <w:rsid w:val="00FB5DE1"/>
    <w:pPr>
      <w:pBdr>
        <w:top w:val="single" w:sz="6" w:space="1" w:color="auto"/>
      </w:pBdr>
      <w:tabs>
        <w:tab w:val="left" w:pos="1985"/>
        <w:tab w:val="right" w:pos="10065"/>
        <w:tab w:val="right" w:pos="14742"/>
      </w:tabs>
    </w:pPr>
    <w:rPr>
      <w:sz w:val="16"/>
      <w:szCs w:val="16"/>
    </w:rPr>
  </w:style>
  <w:style w:type="paragraph" w:customStyle="1" w:styleId="Aufzhlungszeichen2Letztes">
    <w:name w:val="Aufzählungszeichen 2 Letztes"/>
    <w:basedOn w:val="Aufzhlungszeichen2"/>
    <w:pPr>
      <w:spacing w:after="120"/>
    </w:pPr>
  </w:style>
  <w:style w:type="paragraph" w:styleId="Listennummer">
    <w:name w:val="List Number"/>
    <w:basedOn w:val="Standard"/>
    <w:pPr>
      <w:keepNext/>
      <w:keepLines/>
      <w:ind w:left="284" w:hanging="284"/>
    </w:pPr>
  </w:style>
  <w:style w:type="paragraph" w:styleId="Listennummer2">
    <w:name w:val="List Number 2"/>
    <w:basedOn w:val="Standard"/>
    <w:pPr>
      <w:ind w:left="566" w:hanging="283"/>
    </w:pPr>
  </w:style>
  <w:style w:type="paragraph" w:styleId="Beschriftung">
    <w:name w:val="caption"/>
    <w:basedOn w:val="Standard"/>
    <w:next w:val="Standard"/>
    <w:qFormat/>
    <w:pPr>
      <w:spacing w:after="0"/>
      <w:jc w:val="center"/>
    </w:pPr>
  </w:style>
  <w:style w:type="paragraph" w:customStyle="1" w:styleId="Quelle">
    <w:name w:val="Quelle"/>
    <w:basedOn w:val="Standard"/>
    <w:pPr>
      <w:spacing w:before="60"/>
      <w:jc w:val="right"/>
    </w:pPr>
    <w:rPr>
      <w:i/>
      <w:iCs/>
      <w:sz w:val="18"/>
      <w:szCs w:val="18"/>
    </w:rPr>
  </w:style>
  <w:style w:type="character" w:styleId="Seitenzahl">
    <w:name w:val="page number"/>
    <w:basedOn w:val="Absatz-Standardschriftart"/>
    <w:rsid w:val="00CA22D1"/>
    <w:rPr>
      <w:rFonts w:ascii="Arial" w:hAnsi="Arial"/>
      <w:sz w:val="22"/>
    </w:rPr>
  </w:style>
  <w:style w:type="paragraph" w:styleId="Verzeichnis1">
    <w:name w:val="toc 1"/>
    <w:basedOn w:val="Standard"/>
    <w:next w:val="Standard"/>
    <w:uiPriority w:val="39"/>
    <w:rsid w:val="004B5FEB"/>
    <w:pPr>
      <w:tabs>
        <w:tab w:val="left" w:pos="709"/>
        <w:tab w:val="right" w:leader="dot" w:pos="9639"/>
      </w:tabs>
      <w:spacing w:before="120"/>
    </w:pPr>
    <w:rPr>
      <w:b/>
      <w:bCs/>
      <w:sz w:val="20"/>
      <w:szCs w:val="20"/>
    </w:rPr>
  </w:style>
  <w:style w:type="paragraph" w:styleId="Verzeichnis2">
    <w:name w:val="toc 2"/>
    <w:basedOn w:val="Standard"/>
    <w:next w:val="Standard"/>
    <w:uiPriority w:val="39"/>
    <w:rsid w:val="004B5FEB"/>
    <w:pPr>
      <w:tabs>
        <w:tab w:val="left" w:pos="709"/>
        <w:tab w:val="right" w:leader="dot" w:pos="9639"/>
      </w:tabs>
      <w:spacing w:after="0"/>
      <w:ind w:left="709" w:hanging="709"/>
    </w:pPr>
    <w:rPr>
      <w:bCs/>
      <w:sz w:val="20"/>
      <w:szCs w:val="20"/>
    </w:rPr>
  </w:style>
  <w:style w:type="paragraph" w:styleId="Verzeichnis3">
    <w:name w:val="toc 3"/>
    <w:basedOn w:val="Standard"/>
    <w:next w:val="Standard"/>
    <w:semiHidden/>
    <w:rsid w:val="004B5FEB"/>
    <w:pPr>
      <w:tabs>
        <w:tab w:val="left" w:pos="709"/>
        <w:tab w:val="right" w:leader="dot" w:pos="9639"/>
      </w:tabs>
      <w:spacing w:after="0"/>
      <w:ind w:left="709" w:hanging="709"/>
    </w:pPr>
    <w:rPr>
      <w:sz w:val="20"/>
      <w:szCs w:val="20"/>
    </w:rPr>
  </w:style>
  <w:style w:type="paragraph" w:styleId="Verzeichnis4">
    <w:name w:val="toc 4"/>
    <w:basedOn w:val="Standard"/>
    <w:next w:val="Standard"/>
    <w:semiHidden/>
    <w:pPr>
      <w:tabs>
        <w:tab w:val="right" w:leader="dot" w:pos="10064"/>
      </w:tabs>
      <w:spacing w:after="0"/>
      <w:ind w:left="440"/>
    </w:pPr>
    <w:rPr>
      <w:rFonts w:ascii="Times New Roman" w:hAnsi="Times New Roman" w:cs="Times New Roman"/>
      <w:sz w:val="18"/>
      <w:szCs w:val="18"/>
    </w:rPr>
  </w:style>
  <w:style w:type="paragraph" w:styleId="Aufzhlungszeichen3">
    <w:name w:val="List Bullet 3"/>
    <w:basedOn w:val="Standard"/>
    <w:pPr>
      <w:spacing w:after="0"/>
      <w:ind w:left="850" w:hanging="283"/>
    </w:pPr>
  </w:style>
  <w:style w:type="paragraph" w:customStyle="1" w:styleId="Kommentar">
    <w:name w:val="Kommentar"/>
    <w:basedOn w:val="Standard"/>
    <w:rsid w:val="00CA22D1"/>
    <w:rPr>
      <w:color w:val="008000"/>
    </w:rPr>
  </w:style>
  <w:style w:type="paragraph" w:customStyle="1" w:styleId="berschriftohneNummerierung">
    <w:name w:val="Überschrift ohne Nummerierung"/>
    <w:basedOn w:val="Standard"/>
    <w:rsid w:val="000E1BC1"/>
    <w:pPr>
      <w:tabs>
        <w:tab w:val="left" w:pos="1440"/>
      </w:tabs>
      <w:overflowPunct/>
      <w:autoSpaceDE/>
      <w:autoSpaceDN/>
      <w:adjustRightInd/>
      <w:spacing w:before="240" w:line="320" w:lineRule="exact"/>
      <w:textAlignment w:val="auto"/>
    </w:pPr>
    <w:rPr>
      <w:rFonts w:cs="Times New Roman"/>
      <w:b/>
      <w:bCs/>
      <w:kern w:val="20"/>
      <w:szCs w:val="20"/>
    </w:rPr>
  </w:style>
  <w:style w:type="paragraph" w:customStyle="1" w:styleId="Tabelle">
    <w:name w:val="Tabelle"/>
    <w:basedOn w:val="Standard"/>
    <w:rsid w:val="000E1BC1"/>
    <w:pPr>
      <w:keepNext/>
      <w:keepLines/>
      <w:tabs>
        <w:tab w:val="left" w:pos="1134"/>
      </w:tabs>
      <w:overflowPunct/>
      <w:autoSpaceDE/>
      <w:autoSpaceDN/>
      <w:adjustRightInd/>
      <w:spacing w:before="120" w:after="60"/>
      <w:textAlignment w:val="auto"/>
    </w:pPr>
    <w:rPr>
      <w:szCs w:val="24"/>
    </w:rPr>
  </w:style>
  <w:style w:type="character" w:styleId="Hyperlink">
    <w:name w:val="Hyperlink"/>
    <w:basedOn w:val="Absatz-Standardschriftart"/>
    <w:uiPriority w:val="99"/>
    <w:rsid w:val="00DC52F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87869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BE7CB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BE7CB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rsid w:val="00267A2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67A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67A2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267A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67A2D"/>
    <w:rPr>
      <w:rFonts w:ascii="Arial" w:hAnsi="Arial" w:cs="Arial"/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1F57A6"/>
    <w:rPr>
      <w:rFonts w:ascii="Arial" w:hAnsi="Arial" w:cs="Arial"/>
      <w:b/>
      <w:bCs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Vorlagen_VIS\vorlage_konzept_sak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vorlage_konzept_sakd.dotx</Template>
  <TotalTime>0</TotalTime>
  <Pages>7</Pages>
  <Words>917</Words>
  <Characters>7924</Characters>
  <Application>Microsoft Office Word</Application>
  <DocSecurity>0</DocSecurity>
  <Lines>66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Muster: Richtlinie zur Risikoanalyse</vt:lpstr>
    </vt:vector>
  </TitlesOfParts>
  <Company>SAKD</Company>
  <LinksUpToDate>false</LinksUpToDate>
  <CharactersWithSpaces>8824</CharactersWithSpaces>
  <SharedDoc>false</SharedDoc>
  <HLinks>
    <vt:vector size="24" baseType="variant"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_Toc229197405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_Toc229197404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_Toc229197403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_Toc229197402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Muster: Richtlinie zur Risikoanalyse</dc:title>
  <dc:subject>Thema/Bezeichnung</dc:subject>
  <dc:creator>Juergen Kretschmer</dc:creator>
  <cp:keywords/>
  <dc:description/>
  <cp:lastModifiedBy>Juergen Kretschmer</cp:lastModifiedBy>
  <cp:revision>5</cp:revision>
  <cp:lastPrinted>2009-04-29T08:57:00Z</cp:lastPrinted>
  <dcterms:created xsi:type="dcterms:W3CDTF">2021-12-09T12:30:00Z</dcterms:created>
  <dcterms:modified xsi:type="dcterms:W3CDTF">2021-12-09T12:43:00Z</dcterms:modified>
</cp:coreProperties>
</file>